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-63500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4445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81915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7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109855</wp:posOffset>
            </wp:positionV>
            <wp:extent cx="162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8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54" w:lineRule="exact"/>
        <w:rPr>
          <w:sz w:val="24"/>
          <w:szCs w:val="24"/>
          <w:color w:val="auto"/>
        </w:rPr>
      </w:pPr>
    </w:p>
    <w:p>
      <w:pPr>
        <w:ind w:left="980" w:right="940" w:hanging="588"/>
        <w:spacing w:after="0" w:line="275" w:lineRule="auto"/>
        <w:tabs>
          <w:tab w:leader="none" w:pos="9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7" w:lineRule="exact"/>
        <w:rPr>
          <w:sz w:val="24"/>
          <w:szCs w:val="24"/>
          <w:color w:val="auto"/>
        </w:rPr>
      </w:pPr>
    </w:p>
    <w:p>
      <w:pPr>
        <w:ind w:left="980" w:right="920" w:hanging="588"/>
        <w:spacing w:after="0" w:line="270" w:lineRule="auto"/>
        <w:tabs>
          <w:tab w:leader="none" w:pos="98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56" w:lineRule="exact"/>
        <w:rPr>
          <w:sz w:val="24"/>
          <w:szCs w:val="24"/>
          <w:color w:val="auto"/>
        </w:rPr>
      </w:pPr>
    </w:p>
    <w:p>
      <w:pPr>
        <w:ind w:left="3640"/>
        <w:spacing w:after="0"/>
        <w:tabs>
          <w:tab w:leader="none" w:pos="64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001-37719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74295</wp:posOffset>
            </wp:positionV>
            <wp:extent cx="1628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17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Corvus Pharmaceuticals, Inc.</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81915</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ectPr>
          <w:pgSz w:w="11900" w:h="16838" w:orient="portrait"/>
          <w:cols w:equalWidth="0" w:num="1">
            <w:col w:w="10240"/>
          </w:cols>
          <w:pgMar w:left="840" w:top="596" w:right="819" w:bottom="1440" w:gutter="0" w:footer="0" w:header="0"/>
        </w:sectPr>
      </w:pPr>
    </w:p>
    <w:p>
      <w:pPr>
        <w:spacing w:after="0" w:line="282"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46-4670809</w:t>
      </w:r>
    </w:p>
    <w:p>
      <w:pPr>
        <w:spacing w:after="0" w:line="29" w:lineRule="exact"/>
        <w:rPr>
          <w:sz w:val="24"/>
          <w:szCs w:val="24"/>
          <w:color w:val="auto"/>
        </w:rPr>
      </w:pPr>
    </w:p>
    <w:p>
      <w:pPr>
        <w:sectPr>
          <w:pgSz w:w="11900" w:h="16838" w:orient="portrait"/>
          <w:cols w:equalWidth="0" w:num="2">
            <w:col w:w="7340" w:space="720"/>
            <w:col w:w="2180"/>
          </w:cols>
          <w:pgMar w:left="840" w:top="596" w:right="819" w:bottom="1440" w:gutter="0" w:footer="0" w:header="0"/>
          <w:type w:val="continuous"/>
        </w:sectPr>
      </w:pPr>
    </w:p>
    <w:p>
      <w:pPr>
        <w:jc w:val="center"/>
        <w:ind w:right="3720"/>
        <w:spacing w:after="0"/>
        <w:rPr>
          <w:sz w:val="20"/>
          <w:szCs w:val="20"/>
          <w:color w:val="auto"/>
        </w:rPr>
      </w:pPr>
      <w:r>
        <w:rPr>
          <w:rFonts w:ascii="Times New Roman" w:cs="Times New Roman" w:eastAsia="Times New Roman" w:hAnsi="Times New Roman"/>
          <w:sz w:val="18"/>
          <w:szCs w:val="18"/>
          <w:color w:val="auto"/>
        </w:rPr>
        <w:t>(State or other jurisdiction</w:t>
      </w:r>
    </w:p>
    <w:p>
      <w:pPr>
        <w:jc w:val="center"/>
        <w:ind w:right="3720"/>
        <w:spacing w:after="0"/>
        <w:rPr>
          <w:sz w:val="20"/>
          <w:szCs w:val="20"/>
          <w:color w:val="auto"/>
        </w:rPr>
      </w:pPr>
      <w:r>
        <w:rPr>
          <w:rFonts w:ascii="Times New Roman" w:cs="Times New Roman" w:eastAsia="Times New Roman" w:hAnsi="Times New Roman"/>
          <w:sz w:val="17"/>
          <w:szCs w:val="17"/>
          <w:color w:val="auto"/>
        </w:rPr>
        <w:t>of incorporation or organization)</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18"/>
          <w:szCs w:val="18"/>
          <w:color w:val="auto"/>
        </w:rPr>
        <w:t>(IRS Employer</w:t>
      </w:r>
    </w:p>
    <w:p>
      <w:pPr>
        <w:jc w:val="center"/>
        <w:ind w:right="106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91" w:lineRule="exact"/>
        <w:rPr>
          <w:sz w:val="24"/>
          <w:szCs w:val="24"/>
          <w:color w:val="auto"/>
        </w:rPr>
      </w:pPr>
    </w:p>
    <w:p>
      <w:pPr>
        <w:sectPr>
          <w:pgSz w:w="11900" w:h="16838" w:orient="portrait"/>
          <w:cols w:equalWidth="0" w:num="2">
            <w:col w:w="7120" w:space="720"/>
            <w:col w:w="2400"/>
          </w:cols>
          <w:pgMar w:left="840" w:top="596" w:right="819" w:bottom="1440" w:gutter="0" w:footer="0" w:header="0"/>
          <w:type w:val="continuous"/>
        </w:sectPr>
      </w:pPr>
    </w:p>
    <w:p>
      <w:pPr>
        <w:jc w:val="center"/>
        <w:ind w:left="940"/>
        <w:spacing w:after="0"/>
        <w:rPr>
          <w:sz w:val="20"/>
          <w:szCs w:val="20"/>
          <w:color w:val="auto"/>
        </w:rPr>
      </w:pPr>
      <w:r>
        <w:rPr>
          <w:rFonts w:ascii="Times New Roman" w:cs="Times New Roman" w:eastAsia="Times New Roman" w:hAnsi="Times New Roman"/>
          <w:sz w:val="17"/>
          <w:szCs w:val="17"/>
          <w:b w:val="1"/>
          <w:bCs w:val="1"/>
          <w:color w:val="auto"/>
        </w:rPr>
        <w:t>863 Mitten Road, Suite 102</w:t>
      </w:r>
    </w:p>
    <w:p>
      <w:pPr>
        <w:spacing w:after="0" w:line="43" w:lineRule="exact"/>
        <w:rPr>
          <w:sz w:val="24"/>
          <w:szCs w:val="24"/>
          <w:color w:val="auto"/>
        </w:rPr>
      </w:pPr>
    </w:p>
    <w:p>
      <w:pPr>
        <w:jc w:val="center"/>
        <w:ind w:left="940"/>
        <w:spacing w:after="0"/>
        <w:rPr>
          <w:sz w:val="20"/>
          <w:szCs w:val="20"/>
          <w:color w:val="auto"/>
        </w:rPr>
      </w:pPr>
      <w:r>
        <w:rPr>
          <w:rFonts w:ascii="Times New Roman" w:cs="Times New Roman" w:eastAsia="Times New Roman" w:hAnsi="Times New Roman"/>
          <w:sz w:val="18"/>
          <w:szCs w:val="18"/>
          <w:b w:val="1"/>
          <w:bCs w:val="1"/>
          <w:color w:val="auto"/>
        </w:rPr>
        <w:t>Burlingame, CA</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94010</w:t>
      </w:r>
    </w:p>
    <w:p>
      <w:pPr>
        <w:spacing w:after="0" w:line="107" w:lineRule="exact"/>
        <w:rPr>
          <w:sz w:val="24"/>
          <w:szCs w:val="24"/>
          <w:color w:val="auto"/>
        </w:rPr>
      </w:pPr>
    </w:p>
    <w:p>
      <w:pPr>
        <w:sectPr>
          <w:pgSz w:w="11900" w:h="16838" w:orient="portrait"/>
          <w:cols w:equalWidth="0" w:num="2">
            <w:col w:w="5860" w:space="720"/>
            <w:col w:w="3660"/>
          </w:cols>
          <w:pgMar w:left="840" w:top="596" w:right="819" w:bottom="1440" w:gutter="0" w:footer="0" w:header="0"/>
          <w:type w:val="continuous"/>
        </w:sectPr>
      </w:pPr>
    </w:p>
    <w:p>
      <w:pPr>
        <w:ind w:left="19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100" w:lineRule="exact"/>
        <w:rPr>
          <w:sz w:val="24"/>
          <w:szCs w:val="24"/>
          <w:color w:val="auto"/>
        </w:rPr>
      </w:pPr>
    </w:p>
    <w:p>
      <w:pPr>
        <w:sectPr>
          <w:pgSz w:w="11900" w:h="16838" w:orient="portrait"/>
          <w:cols w:equalWidth="0" w:num="2">
            <w:col w:w="5700" w:space="720"/>
            <w:col w:w="3820"/>
          </w:cols>
          <w:pgMar w:left="840" w:top="596" w:right="81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(650) 900-4520</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 N/A</w:t>
      </w:r>
    </w:p>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69" w:lineRule="exact"/>
        <w:rPr>
          <w:sz w:val="24"/>
          <w:szCs w:val="24"/>
          <w:color w:val="auto"/>
        </w:rPr>
      </w:pPr>
    </w:p>
    <w:tbl>
      <w:tblPr>
        <w:tblLayout w:type="fixed"/>
        <w:tblInd w:w="10" w:type="dxa"/>
        <w:tblCellMar>
          <w:top w:w="0" w:type="dxa"/>
          <w:left w:w="0" w:type="dxa"/>
          <w:bottom w:w="0" w:type="dxa"/>
          <w:right w:w="0" w:type="dxa"/>
        </w:tblCellMar>
      </w:tblPr>
      <w:tr>
        <w:trPr>
          <w:trHeight w:val="252"/>
        </w:trPr>
        <w:tc>
          <w:tcPr>
            <w:tcW w:w="39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symbol(s)</w:t>
            </w:r>
          </w:p>
        </w:tc>
        <w:tc>
          <w:tcPr>
            <w:tcW w:w="3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36"/>
        </w:trPr>
        <w:tc>
          <w:tcPr>
            <w:tcW w:w="39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CRVS</w:t>
            </w:r>
          </w:p>
        </w:tc>
        <w:tc>
          <w:tcPr>
            <w:tcW w:w="3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8" w:lineRule="exact"/>
        <w:rPr>
          <w:sz w:val="24"/>
          <w:szCs w:val="24"/>
          <w:color w:val="auto"/>
        </w:rPr>
      </w:pPr>
    </w:p>
    <w:p>
      <w:pPr>
        <w:jc w:val="both"/>
        <w:ind w:right="1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highlight w:val="black"/>
        </w:rPr>
        <w:t>☐</w:t>
      </w:r>
    </w:p>
    <w:p>
      <w:pPr>
        <w:spacing w:after="0" w:line="76" w:lineRule="exact"/>
        <w:rPr>
          <w:sz w:val="24"/>
          <w:szCs w:val="24"/>
          <w:color w:val="auto"/>
        </w:rPr>
      </w:pPr>
    </w:p>
    <w:p>
      <w:pPr>
        <w:ind w:right="2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highlight w:val="black"/>
        </w:rPr>
        <w:t>☐</w:t>
      </w:r>
    </w:p>
    <w:p>
      <w:pPr>
        <w:spacing w:after="0" w:line="36" w:lineRule="exact"/>
        <w:rPr>
          <w:sz w:val="24"/>
          <w:szCs w:val="24"/>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any emerging growth company. See the definitions of “large accelerated filer,” “accelerated filer”, “smaller reporting company” and “emerging growth company” in Rule 12b-2 of the Exchange Act.</w:t>
      </w:r>
    </w:p>
    <w:tbl>
      <w:tblPr>
        <w:tblLayout w:type="fixed"/>
        <w:tblInd w:w="1720" w:type="dxa"/>
        <w:tblCellMar>
          <w:top w:w="0" w:type="dxa"/>
          <w:left w:w="0" w:type="dxa"/>
          <w:bottom w:w="0" w:type="dxa"/>
          <w:right w:w="0" w:type="dxa"/>
        </w:tblCellMar>
      </w:tblPr>
      <w:tr>
        <w:trPr>
          <w:trHeight w:val="338"/>
        </w:trPr>
        <w:tc>
          <w:tcPr>
            <w:tcW w:w="3600" w:type="dxa"/>
            <w:vAlign w:val="bottom"/>
          </w:tcPr>
          <w:p>
            <w:pPr>
              <w:jc w:val="center"/>
              <w:ind w:right="1330"/>
              <w:spacing w:after="0" w:line="207" w:lineRule="exact"/>
              <w:rPr>
                <w:sz w:val="20"/>
                <w:szCs w:val="20"/>
                <w:color w:val="auto"/>
              </w:rPr>
            </w:pPr>
            <w:r>
              <w:rPr>
                <w:rFonts w:ascii="Times New Roman" w:cs="Times New Roman" w:eastAsia="Times New Roman" w:hAnsi="Times New Roman"/>
                <w:sz w:val="18"/>
                <w:szCs w:val="18"/>
                <w:color w:val="auto"/>
                <w:w w:val="98"/>
              </w:rPr>
              <w:t xml:space="preserve">Large accelerated filer </w:t>
            </w:r>
            <w:r>
              <w:rPr>
                <w:rFonts w:ascii="MS PGothic" w:cs="MS PGothic" w:eastAsia="MS PGothic" w:hAnsi="MS PGothic"/>
                <w:sz w:val="18"/>
                <w:szCs w:val="18"/>
                <w:color w:val="auto"/>
                <w:w w:val="98"/>
              </w:rPr>
              <w:t>☐</w:t>
            </w:r>
          </w:p>
        </w:tc>
        <w:tc>
          <w:tcPr>
            <w:tcW w:w="3600" w:type="dxa"/>
            <w:vAlign w:val="bottom"/>
          </w:tcPr>
          <w:p>
            <w:pPr>
              <w:jc w:val="center"/>
              <w:ind w:left="1330"/>
              <w:spacing w:after="0" w:line="207" w:lineRule="exact"/>
              <w:rPr>
                <w:sz w:val="20"/>
                <w:szCs w:val="20"/>
                <w:color w:val="auto"/>
              </w:rPr>
            </w:pPr>
            <w:r>
              <w:rPr>
                <w:rFonts w:ascii="Times New Roman" w:cs="Times New Roman" w:eastAsia="Times New Roman" w:hAnsi="Times New Roman"/>
                <w:sz w:val="18"/>
                <w:szCs w:val="18"/>
                <w:color w:val="auto"/>
                <w:w w:val="99"/>
              </w:rPr>
              <w:t xml:space="preserve">Accelerated filer </w:t>
            </w:r>
            <w:r>
              <w:rPr>
                <w:rFonts w:ascii="MS PGothic" w:cs="MS PGothic" w:eastAsia="MS PGothic" w:hAnsi="MS PGothic"/>
                <w:sz w:val="18"/>
                <w:szCs w:val="18"/>
                <w:color w:val="auto"/>
                <w:w w:val="99"/>
              </w:rPr>
              <w:t>☐</w:t>
            </w:r>
          </w:p>
        </w:tc>
      </w:tr>
      <w:tr>
        <w:trPr>
          <w:trHeight w:val="303"/>
        </w:trPr>
        <w:tc>
          <w:tcPr>
            <w:tcW w:w="3600" w:type="dxa"/>
            <w:vAlign w:val="bottom"/>
          </w:tcPr>
          <w:p>
            <w:pPr>
              <w:jc w:val="center"/>
              <w:ind w:right="1310"/>
              <w:spacing w:after="0" w:line="207" w:lineRule="exact"/>
              <w:rPr>
                <w:sz w:val="20"/>
                <w:szCs w:val="20"/>
                <w:color w:val="auto"/>
              </w:rPr>
            </w:pPr>
            <w:r>
              <w:rPr>
                <w:rFonts w:ascii="Times New Roman" w:cs="Times New Roman" w:eastAsia="Times New Roman" w:hAnsi="Times New Roman"/>
                <w:sz w:val="18"/>
                <w:szCs w:val="18"/>
                <w:color w:val="auto"/>
                <w:w w:val="98"/>
              </w:rPr>
              <w:t xml:space="preserve">Non-accelerated filer </w:t>
            </w:r>
            <w:r>
              <w:rPr>
                <w:rFonts w:ascii="MS PGothic" w:cs="MS PGothic" w:eastAsia="MS PGothic" w:hAnsi="MS PGothic"/>
                <w:sz w:val="18"/>
                <w:szCs w:val="18"/>
                <w:color w:val="auto"/>
                <w:w w:val="98"/>
              </w:rPr>
              <w:t>☒</w:t>
            </w:r>
          </w:p>
        </w:tc>
        <w:tc>
          <w:tcPr>
            <w:tcW w:w="3600" w:type="dxa"/>
            <w:vAlign w:val="bottom"/>
          </w:tcPr>
          <w:p>
            <w:pPr>
              <w:jc w:val="center"/>
              <w:ind w:left="1330"/>
              <w:spacing w:after="0" w:line="207" w:lineRule="exact"/>
              <w:rPr>
                <w:sz w:val="20"/>
                <w:szCs w:val="20"/>
                <w:color w:val="auto"/>
              </w:rPr>
            </w:pPr>
            <w:r>
              <w:rPr>
                <w:rFonts w:ascii="Times New Roman" w:cs="Times New Roman" w:eastAsia="Times New Roman" w:hAnsi="Times New Roman"/>
                <w:sz w:val="18"/>
                <w:szCs w:val="18"/>
                <w:color w:val="auto"/>
                <w:w w:val="99"/>
              </w:rPr>
              <w:t xml:space="preserve">Smaller reporting company </w:t>
            </w:r>
            <w:r>
              <w:rPr>
                <w:rFonts w:ascii="MS PGothic" w:cs="MS PGothic" w:eastAsia="MS PGothic" w:hAnsi="MS PGothic"/>
                <w:sz w:val="18"/>
                <w:szCs w:val="18"/>
                <w:color w:val="auto"/>
                <w:w w:val="99"/>
              </w:rPr>
              <w:t>☒</w:t>
            </w:r>
          </w:p>
        </w:tc>
      </w:tr>
      <w:tr>
        <w:trPr>
          <w:trHeight w:val="391"/>
        </w:trPr>
        <w:tc>
          <w:tcPr>
            <w:tcW w:w="3600" w:type="dxa"/>
            <w:vAlign w:val="bottom"/>
          </w:tcPr>
          <w:p>
            <w:pPr>
              <w:jc w:val="center"/>
              <w:ind w:right="1330"/>
              <w:spacing w:after="0" w:line="207" w:lineRule="exact"/>
              <w:rPr>
                <w:sz w:val="20"/>
                <w:szCs w:val="20"/>
                <w:color w:val="auto"/>
              </w:rPr>
            </w:pPr>
            <w:r>
              <w:rPr>
                <w:rFonts w:ascii="Times New Roman" w:cs="Times New Roman" w:eastAsia="Times New Roman" w:hAnsi="Times New Roman"/>
                <w:sz w:val="18"/>
                <w:szCs w:val="18"/>
                <w:color w:val="auto"/>
                <w:w w:val="99"/>
              </w:rPr>
              <w:t xml:space="preserve">Emerging growth company </w:t>
            </w:r>
            <w:r>
              <w:rPr>
                <w:rFonts w:ascii="MS PGothic" w:cs="MS PGothic" w:eastAsia="MS PGothic" w:hAnsi="MS PGothic"/>
                <w:sz w:val="18"/>
                <w:szCs w:val="18"/>
                <w:color w:val="auto"/>
                <w:w w:val="99"/>
              </w:rPr>
              <w:t>☐</w:t>
            </w:r>
          </w:p>
        </w:tc>
        <w:tc>
          <w:tcPr>
            <w:tcW w:w="3600" w:type="dxa"/>
            <w:vAlign w:val="bottom"/>
          </w:tcPr>
          <w:p>
            <w:pPr>
              <w:spacing w:after="0"/>
              <w:rPr>
                <w:sz w:val="24"/>
                <w:szCs w:val="24"/>
                <w:color w:val="auto"/>
              </w:rPr>
            </w:pPr>
          </w:p>
        </w:tc>
      </w:tr>
    </w:tbl>
    <w:p>
      <w:pPr>
        <w:spacing w:after="0" w:line="129" w:lineRule="exact"/>
        <w:rPr>
          <w:sz w:val="24"/>
          <w:szCs w:val="24"/>
          <w:color w:val="auto"/>
        </w:rPr>
      </w:pPr>
    </w:p>
    <w:p>
      <w:pPr>
        <w:ind w:right="2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800"/>
        <w:spacing w:after="0" w:line="27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May 7, 2024, 62,551,281 shares of the registrant’s common stock, $0.0001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591820</wp:posOffset>
            </wp:positionV>
            <wp:extent cx="649795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34925</wp:posOffset>
            </wp:positionV>
            <wp:extent cx="64979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77470</wp:posOffset>
            </wp:positionV>
            <wp:extent cx="649795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40" w:top="596" w:right="81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540" w:type="dxa"/>
            <w:vAlign w:val="bottom"/>
            <w:gridSpan w:val="11"/>
          </w:tcPr>
          <w:p>
            <w:pPr>
              <w:jc w:val="center"/>
              <w:ind w:right="2300"/>
              <w:spacing w:after="0"/>
              <w:rPr>
                <w:sz w:val="20"/>
                <w:szCs w:val="20"/>
                <w:color w:val="auto"/>
              </w:rPr>
            </w:pPr>
            <w:r>
              <w:rPr>
                <w:rFonts w:ascii="Times New Roman" w:cs="Times New Roman" w:eastAsia="Times New Roman" w:hAnsi="Times New Roman"/>
                <w:sz w:val="18"/>
                <w:szCs w:val="18"/>
                <w:b w:val="1"/>
                <w:bCs w:val="1"/>
                <w:color w:val="auto"/>
                <w:w w:val="99"/>
              </w:rPr>
              <w:t>CORVUS PHARMACEUTICALS, INC.</w:t>
            </w:r>
          </w:p>
        </w:tc>
        <w:tc>
          <w:tcPr>
            <w:tcW w:w="540" w:type="dxa"/>
            <w:vAlign w:val="bottom"/>
          </w:tcPr>
          <w:p>
            <w:pPr>
              <w:spacing w:after="0"/>
              <w:rPr>
                <w:sz w:val="20"/>
                <w:szCs w:val="20"/>
                <w:color w:val="auto"/>
              </w:rPr>
            </w:pPr>
          </w:p>
        </w:tc>
      </w:tr>
      <w:tr>
        <w:trPr>
          <w:trHeight w:val="43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00" w:type="dxa"/>
            <w:vAlign w:val="bottom"/>
            <w:gridSpan w:val="17"/>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QUARTERLY REPORT ON FORM 10-Q FOR THE QUARTER ENDED MARCH 31, 2024</w:t>
            </w:r>
          </w:p>
        </w:tc>
        <w:tc>
          <w:tcPr>
            <w:tcW w:w="540" w:type="dxa"/>
            <w:vAlign w:val="bottom"/>
          </w:tcPr>
          <w:p>
            <w:pPr>
              <w:spacing w:after="0"/>
              <w:rPr>
                <w:sz w:val="24"/>
                <w:szCs w:val="24"/>
                <w:color w:val="auto"/>
              </w:rPr>
            </w:pPr>
          </w:p>
        </w:tc>
      </w:tr>
      <w:tr>
        <w:trPr>
          <w:trHeight w:val="43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0" w:type="dxa"/>
            <w:vAlign w:val="bottom"/>
            <w:gridSpan w:val="9"/>
          </w:tcPr>
          <w:p>
            <w:pPr>
              <w:jc w:val="center"/>
              <w:ind w:right="26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540" w:type="dxa"/>
            <w:vAlign w:val="bottom"/>
          </w:tcPr>
          <w:p>
            <w:pPr>
              <w:spacing w:after="0"/>
              <w:rPr>
                <w:sz w:val="24"/>
                <w:szCs w:val="24"/>
                <w:color w:val="auto"/>
              </w:rPr>
            </w:pPr>
          </w:p>
        </w:tc>
      </w:tr>
      <w:tr>
        <w:trPr>
          <w:trHeight w:val="39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40" w:type="dxa"/>
            <w:vAlign w:val="bottom"/>
            <w:gridSpan w:val="11"/>
          </w:tcPr>
          <w:p>
            <w:pPr>
              <w:jc w:val="center"/>
              <w:ind w:right="2300"/>
              <w:spacing w:after="0"/>
              <w:rPr>
                <w:sz w:val="20"/>
                <w:szCs w:val="20"/>
                <w:color w:val="auto"/>
              </w:rPr>
            </w:pPr>
            <w:r>
              <w:rPr>
                <w:rFonts w:ascii="Times New Roman" w:cs="Times New Roman" w:eastAsia="Times New Roman" w:hAnsi="Times New Roman"/>
                <w:sz w:val="18"/>
                <w:szCs w:val="18"/>
                <w:b w:val="1"/>
                <w:bCs w:val="1"/>
                <w:color w:val="0000EE"/>
                <w:w w:val="98"/>
              </w:rPr>
              <w:t>PART I — FINANCIAL INFORMATION</w:t>
            </w:r>
          </w:p>
        </w:tc>
        <w:tc>
          <w:tcPr>
            <w:tcW w:w="540" w:type="dxa"/>
            <w:vAlign w:val="bottom"/>
          </w:tcPr>
          <w:p>
            <w:pPr>
              <w:spacing w:after="0"/>
              <w:rPr>
                <w:sz w:val="24"/>
                <w:szCs w:val="24"/>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12"/>
        </w:trPr>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w:t>
            </w:r>
          </w:p>
        </w:tc>
        <w:tc>
          <w:tcPr>
            <w:tcW w:w="75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Financial Statements (unaudited)</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4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Balance Sheets</w:t>
            </w:r>
          </w:p>
        </w:tc>
        <w:tc>
          <w:tcPr>
            <w:tcW w:w="4580" w:type="dxa"/>
            <w:vAlign w:val="bottom"/>
            <w:gridSpan w:val="8"/>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5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Operations and Comprehensive Loss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2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Change in Stockholders’ Equity</w:t>
            </w:r>
          </w:p>
        </w:tc>
        <w:tc>
          <w:tcPr>
            <w:tcW w:w="300" w:type="dxa"/>
            <w:vAlign w:val="bottom"/>
            <w:tcBorders>
              <w:top w:val="single" w:sz="8" w:color="0000EE"/>
            </w:tcBorders>
          </w:tcPr>
          <w:p>
            <w:pPr>
              <w:spacing w:after="0"/>
              <w:rPr>
                <w:sz w:val="17"/>
                <w:szCs w:val="17"/>
                <w:color w:val="auto"/>
              </w:rPr>
            </w:pPr>
          </w:p>
        </w:tc>
        <w:tc>
          <w:tcPr>
            <w:tcW w:w="2000" w:type="dxa"/>
            <w:vAlign w:val="bottom"/>
            <w:gridSpan w:val="2"/>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w:t>
            </w:r>
          </w:p>
        </w:tc>
        <w:tc>
          <w:tcPr>
            <w:tcW w:w="3800" w:type="dxa"/>
            <w:vAlign w:val="bottom"/>
            <w:gridSpan w:val="7"/>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Condensed Consolidated Financial Statements</w:t>
            </w:r>
          </w:p>
        </w:tc>
        <w:tc>
          <w:tcPr>
            <w:tcW w:w="3520" w:type="dxa"/>
            <w:vAlign w:val="bottom"/>
            <w:gridSpan w:val="6"/>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0"/>
              </w:rPr>
              <w:t>Item 2.</w:t>
            </w:r>
          </w:p>
        </w:tc>
        <w:tc>
          <w:tcPr>
            <w:tcW w:w="340" w:type="dxa"/>
            <w:vAlign w:val="bottom"/>
            <w:gridSpan w:val="2"/>
          </w:tcPr>
          <w:p>
            <w:pPr>
              <w:spacing w:after="0"/>
              <w:rPr>
                <w:sz w:val="17"/>
                <w:szCs w:val="17"/>
                <w:color w:val="auto"/>
              </w:rPr>
            </w:pPr>
          </w:p>
        </w:tc>
        <w:tc>
          <w:tcPr>
            <w:tcW w:w="75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40" w:type="dxa"/>
            <w:vAlign w:val="bottom"/>
            <w:tcBorders>
              <w:left w:val="single" w:sz="8" w:color="0000EE"/>
            </w:tcBorders>
            <w:gridSpan w:val="4"/>
            <w:shd w:val="clear" w:color="auto" w:fill="0000EE"/>
          </w:tcPr>
          <w:p>
            <w:pPr>
              <w:spacing w:after="0" w:line="20" w:lineRule="exact"/>
              <w:rPr>
                <w:sz w:val="1"/>
                <w:szCs w:val="1"/>
                <w:color w:val="auto"/>
              </w:rPr>
            </w:pPr>
          </w:p>
        </w:tc>
        <w:tc>
          <w:tcPr>
            <w:tcW w:w="720" w:type="dxa"/>
            <w:vAlign w:val="bottom"/>
            <w:tcBorders>
              <w:left w:val="single" w:sz="8" w:color="0000EE"/>
            </w:tcBorders>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0"/>
              </w:rPr>
              <w:t>Item 3.</w:t>
            </w:r>
          </w:p>
        </w:tc>
        <w:tc>
          <w:tcPr>
            <w:tcW w:w="340" w:type="dxa"/>
            <w:vAlign w:val="bottom"/>
            <w:gridSpan w:val="2"/>
          </w:tcPr>
          <w:p>
            <w:pPr>
              <w:spacing w:after="0"/>
              <w:rPr>
                <w:sz w:val="17"/>
                <w:szCs w:val="17"/>
                <w:color w:val="auto"/>
              </w:rPr>
            </w:pPr>
          </w:p>
        </w:tc>
        <w:tc>
          <w:tcPr>
            <w:tcW w:w="75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40" w:type="dxa"/>
            <w:vAlign w:val="bottom"/>
            <w:tcBorders>
              <w:left w:val="single" w:sz="8" w:color="0000EE"/>
            </w:tcBorders>
            <w:gridSpan w:val="4"/>
            <w:shd w:val="clear" w:color="auto" w:fill="0000EE"/>
          </w:tcPr>
          <w:p>
            <w:pPr>
              <w:spacing w:after="0" w:line="20" w:lineRule="exact"/>
              <w:rPr>
                <w:sz w:val="1"/>
                <w:szCs w:val="1"/>
                <w:color w:val="auto"/>
              </w:rPr>
            </w:pPr>
          </w:p>
        </w:tc>
        <w:tc>
          <w:tcPr>
            <w:tcW w:w="720" w:type="dxa"/>
            <w:vAlign w:val="bottom"/>
            <w:tcBorders>
              <w:left w:val="single" w:sz="8" w:color="0000EE"/>
            </w:tcBorders>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8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w:t>
            </w:r>
            <w:r>
              <w:rPr>
                <w:rFonts w:ascii="Times New Roman" w:cs="Times New Roman" w:eastAsia="Times New Roman" w:hAnsi="Times New Roman"/>
                <w:sz w:val="18"/>
                <w:szCs w:val="18"/>
                <w:color w:val="000000"/>
              </w:rPr>
              <w:t>.</w:t>
            </w:r>
          </w:p>
        </w:tc>
        <w:tc>
          <w:tcPr>
            <w:tcW w:w="75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412"/>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40" w:type="dxa"/>
            <w:vAlign w:val="bottom"/>
            <w:tcBorders>
              <w:bottom w:val="single" w:sz="8" w:color="0000EE"/>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0000EE"/>
                <w:w w:val="98"/>
              </w:rPr>
              <w:t>PART II — OTHER INFORMATION</w:t>
            </w:r>
          </w:p>
        </w:tc>
        <w:tc>
          <w:tcPr>
            <w:tcW w:w="2440" w:type="dxa"/>
            <w:vAlign w:val="bottom"/>
            <w:gridSpan w:val="4"/>
          </w:tcPr>
          <w:p>
            <w:pPr>
              <w:spacing w:after="0"/>
              <w:rPr>
                <w:sz w:val="24"/>
                <w:szCs w:val="24"/>
                <w:color w:val="auto"/>
              </w:rPr>
            </w:pPr>
          </w:p>
        </w:tc>
        <w:tc>
          <w:tcPr>
            <w:tcW w:w="540" w:type="dxa"/>
            <w:vAlign w:val="bottom"/>
          </w:tcPr>
          <w:p>
            <w:pPr>
              <w:spacing w:after="0"/>
              <w:rPr>
                <w:sz w:val="24"/>
                <w:szCs w:val="24"/>
                <w:color w:val="auto"/>
              </w:rPr>
            </w:pPr>
          </w:p>
        </w:tc>
      </w:tr>
      <w:tr>
        <w:trPr>
          <w:trHeight w:val="4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0000EE"/>
                <w:w w:val="90"/>
              </w:rPr>
              <w:t>Item 1.</w:t>
            </w:r>
          </w:p>
        </w:tc>
        <w:tc>
          <w:tcPr>
            <w:tcW w:w="340" w:type="dxa"/>
            <w:vAlign w:val="bottom"/>
            <w:gridSpan w:val="2"/>
          </w:tcPr>
          <w:p>
            <w:pPr>
              <w:spacing w:after="0"/>
              <w:rPr>
                <w:sz w:val="24"/>
                <w:szCs w:val="24"/>
                <w:color w:val="auto"/>
              </w:rPr>
            </w:pPr>
          </w:p>
        </w:tc>
        <w:tc>
          <w:tcPr>
            <w:tcW w:w="75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4"/>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316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1A.</w:t>
            </w:r>
          </w:p>
        </w:tc>
        <w:tc>
          <w:tcPr>
            <w:tcW w:w="200" w:type="dxa"/>
            <w:vAlign w:val="bottom"/>
          </w:tcPr>
          <w:p>
            <w:pPr>
              <w:spacing w:after="0"/>
              <w:rPr>
                <w:sz w:val="17"/>
                <w:szCs w:val="17"/>
                <w:color w:val="auto"/>
              </w:rPr>
            </w:pPr>
          </w:p>
        </w:tc>
        <w:tc>
          <w:tcPr>
            <w:tcW w:w="75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316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0"/>
              </w:rPr>
              <w:t>Item 2.</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5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2040" w:type="dxa"/>
            <w:vAlign w:val="bottom"/>
            <w:tcBorders>
              <w:left w:val="single" w:sz="8" w:color="0000EE"/>
            </w:tcBorders>
            <w:gridSpan w:val="4"/>
            <w:shd w:val="clear" w:color="auto" w:fill="0000EE"/>
          </w:tcPr>
          <w:p>
            <w:pPr>
              <w:spacing w:after="0" w:line="20" w:lineRule="exact"/>
              <w:rPr>
                <w:sz w:val="1"/>
                <w:szCs w:val="1"/>
                <w:color w:val="auto"/>
              </w:rPr>
            </w:pPr>
          </w:p>
        </w:tc>
        <w:tc>
          <w:tcPr>
            <w:tcW w:w="316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0"/>
              </w:rPr>
              <w:t>Item 3.</w:t>
            </w:r>
          </w:p>
        </w:tc>
        <w:tc>
          <w:tcPr>
            <w:tcW w:w="340" w:type="dxa"/>
            <w:vAlign w:val="bottom"/>
            <w:gridSpan w:val="2"/>
          </w:tcPr>
          <w:p>
            <w:pPr>
              <w:spacing w:after="0"/>
              <w:rPr>
                <w:sz w:val="17"/>
                <w:szCs w:val="17"/>
                <w:color w:val="auto"/>
              </w:rPr>
            </w:pPr>
          </w:p>
        </w:tc>
        <w:tc>
          <w:tcPr>
            <w:tcW w:w="75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5200" w:type="dxa"/>
            <w:vAlign w:val="bottom"/>
            <w:gridSpan w:val="9"/>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0"/>
              </w:rPr>
              <w:t>Item 4.</w:t>
            </w:r>
          </w:p>
        </w:tc>
        <w:tc>
          <w:tcPr>
            <w:tcW w:w="340" w:type="dxa"/>
            <w:vAlign w:val="bottom"/>
            <w:gridSpan w:val="2"/>
          </w:tcPr>
          <w:p>
            <w:pPr>
              <w:spacing w:after="0"/>
              <w:rPr>
                <w:sz w:val="17"/>
                <w:szCs w:val="17"/>
                <w:color w:val="auto"/>
              </w:rPr>
            </w:pPr>
          </w:p>
        </w:tc>
        <w:tc>
          <w:tcPr>
            <w:tcW w:w="75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740" w:type="dxa"/>
            <w:vAlign w:val="bottom"/>
            <w:gridSpan w:val="1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0"/>
              </w:rPr>
              <w:t>Item 5.</w:t>
            </w:r>
          </w:p>
        </w:tc>
        <w:tc>
          <w:tcPr>
            <w:tcW w:w="340" w:type="dxa"/>
            <w:vAlign w:val="bottom"/>
            <w:gridSpan w:val="2"/>
          </w:tcPr>
          <w:p>
            <w:pPr>
              <w:spacing w:after="0"/>
              <w:rPr>
                <w:sz w:val="17"/>
                <w:szCs w:val="17"/>
                <w:color w:val="auto"/>
              </w:rPr>
            </w:pPr>
          </w:p>
        </w:tc>
        <w:tc>
          <w:tcPr>
            <w:tcW w:w="75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200" w:type="dxa"/>
            <w:vAlign w:val="bottom"/>
            <w:gridSpan w:val="1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0"/>
              </w:rPr>
              <w:t>Item 6.</w:t>
            </w:r>
          </w:p>
        </w:tc>
        <w:tc>
          <w:tcPr>
            <w:tcW w:w="340" w:type="dxa"/>
            <w:vAlign w:val="bottom"/>
            <w:gridSpan w:val="2"/>
          </w:tcPr>
          <w:p>
            <w:pPr>
              <w:spacing w:after="0"/>
              <w:rPr>
                <w:sz w:val="17"/>
                <w:szCs w:val="17"/>
                <w:color w:val="auto"/>
              </w:rPr>
            </w:pPr>
          </w:p>
        </w:tc>
        <w:tc>
          <w:tcPr>
            <w:tcW w:w="75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gridSpan w:val="3"/>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920" w:type="dxa"/>
            <w:vAlign w:val="bottom"/>
            <w:gridSpan w:val="1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12"/>
        </w:trPr>
        <w:tc>
          <w:tcPr>
            <w:tcW w:w="11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6"/>
              </w:rPr>
              <w:t>SIGNATURES</w:t>
            </w:r>
          </w:p>
        </w:tc>
        <w:tc>
          <w:tcPr>
            <w:tcW w:w="7260" w:type="dxa"/>
            <w:vAlign w:val="bottom"/>
            <w:gridSpan w:val="16"/>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Unaudited Condensed Consolidated Financial Statements</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CORVUS PHARMACEUTICALS, INC.</w:t>
      </w:r>
    </w:p>
    <w:p>
      <w:pPr>
        <w:spacing w:after="0" w:line="31"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12"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7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receivable - related party</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Angel Pharmaceuticals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50"/>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40,084</w:t>
            </w:r>
          </w:p>
        </w:tc>
        <w:tc>
          <w:tcPr>
            <w:tcW w:w="1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45,553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7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4,071</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6,720</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Commitments and contingencies </w:t>
            </w:r>
            <w:r>
              <w:rPr>
                <w:rFonts w:ascii="Times New Roman" w:cs="Times New Roman" w:eastAsia="Times New Roman" w:hAnsi="Times New Roman"/>
                <w:sz w:val="18"/>
                <w:szCs w:val="18"/>
                <w:i w:val="1"/>
                <w:iCs w:val="1"/>
                <w:color w:val="auto"/>
              </w:rPr>
              <w:t>(Note 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4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10,000,000 shares authorized at March 31, 2024 and</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December 31, 2023; 0 shares issued and outstanding at March 31, 2024 and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December 31, 2023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4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$0.0001 par value; 290,000,000 shares authorized at March 31, 2024 and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December 31, 2023; 49,038,582 shares issued and outstanding at March 31, 2024 and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December 31, 2023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375,052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(340,418)</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33,364</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40,084</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CORVUS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5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60" w:type="dxa"/>
            <w:vAlign w:val="bottom"/>
            <w:gridSpan w:val="6"/>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5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6"/>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4"/>
        </w:trPr>
        <w:tc>
          <w:tcPr>
            <w:tcW w:w="540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5"/>
                <w:szCs w:val="15"/>
                <w:color w:val="auto"/>
              </w:rPr>
            </w:pPr>
          </w:p>
        </w:tc>
        <w:tc>
          <w:tcPr>
            <w:tcW w:w="20" w:type="dxa"/>
            <w:vAlign w:val="bottom"/>
            <w:tcBorders>
              <w:top w:val="single" w:sz="8" w:color="auto"/>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4,075</w:t>
            </w:r>
          </w:p>
        </w:tc>
        <w:tc>
          <w:tcPr>
            <w:tcW w:w="1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6,253</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6,574</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and other expense, net</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Sublease income - related party</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Loss before equity method investment</w:t>
            </w:r>
          </w:p>
        </w:tc>
        <w:tc>
          <w:tcPr>
            <w:tcW w:w="1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(5,937)</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(6,142)</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equity method investment</w:t>
            </w:r>
          </w:p>
        </w:tc>
        <w:tc>
          <w:tcPr>
            <w:tcW w:w="1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(5,701)</w:t>
            </w: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(7,873)</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4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1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(0.12)</w:t>
            </w: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(0.17)</w:t>
            </w: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 used to compute net loss per share, basic and diluted</w:t>
            </w:r>
          </w:p>
        </w:tc>
        <w:tc>
          <w:tcPr>
            <w:tcW w:w="1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00" w:type="dxa"/>
            <w:vAlign w:val="bottom"/>
            <w:tcBorders>
              <w:bottom w:val="single" w:sz="8" w:color="CCEEFF"/>
            </w:tcBorders>
            <w:vMerge w:val="continue"/>
          </w:tcPr>
          <w:p>
            <w:pPr>
              <w:spacing w:after="0"/>
              <w:rPr>
                <w:sz w:val="20"/>
                <w:szCs w:val="20"/>
                <w:color w:val="auto"/>
              </w:rPr>
            </w:pPr>
          </w:p>
        </w:tc>
        <w:tc>
          <w:tcPr>
            <w:tcW w:w="1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49,038,582</w:t>
            </w: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46,556,178</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4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Other comprehensive loss:</w:t>
            </w: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Cumulative foreign currency translation adjustment</w:t>
            </w:r>
          </w:p>
        </w:tc>
        <w:tc>
          <w:tcPr>
            <w:tcW w:w="1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(6,009)</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CORVUS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37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Three Months Ended March 31, 2024</w:t>
            </w: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r>
      <w:tr>
        <w:trPr>
          <w:trHeight w:val="123"/>
        </w:trPr>
        <w:tc>
          <w:tcPr>
            <w:tcW w:w="3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3"/>
          </w:tcPr>
          <w:p>
            <w:pPr>
              <w:jc w:val="center"/>
              <w:ind w:right="140"/>
              <w:spacing w:after="0" w:line="123"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48"/>
        </w:trPr>
        <w:tc>
          <w:tcPr>
            <w:tcW w:w="3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40" w:type="dxa"/>
            <w:vAlign w:val="bottom"/>
          </w:tcPr>
          <w:p>
            <w:pPr>
              <w:spacing w:after="0"/>
              <w:rPr>
                <w:sz w:val="12"/>
                <w:szCs w:val="12"/>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66"/>
        </w:trPr>
        <w:tc>
          <w:tcPr>
            <w:tcW w:w="3720" w:type="dxa"/>
            <w:vAlign w:val="bottom"/>
          </w:tcPr>
          <w:p>
            <w:pPr>
              <w:spacing w:after="0"/>
              <w:rPr>
                <w:sz w:val="14"/>
                <w:szCs w:val="14"/>
                <w:color w:val="auto"/>
              </w:rPr>
            </w:pPr>
          </w:p>
        </w:tc>
        <w:tc>
          <w:tcPr>
            <w:tcW w:w="1580" w:type="dxa"/>
            <w:vAlign w:val="bottom"/>
            <w:tcBorders>
              <w:bottom w:val="single" w:sz="8" w:color="auto"/>
            </w:tcBorders>
            <w:gridSpan w:val="4"/>
          </w:tcPr>
          <w:p>
            <w:pPr>
              <w:jc w:val="right"/>
              <w:ind w:right="309"/>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Paid-in</w:t>
            </w:r>
          </w:p>
        </w:tc>
        <w:tc>
          <w:tcPr>
            <w:tcW w:w="98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r>
      <w:tr>
        <w:trPr>
          <w:trHeight w:val="144"/>
        </w:trPr>
        <w:tc>
          <w:tcPr>
            <w:tcW w:w="3720" w:type="dxa"/>
            <w:vAlign w:val="bottom"/>
          </w:tcPr>
          <w:p>
            <w:pPr>
              <w:spacing w:after="0"/>
              <w:rPr>
                <w:sz w:val="12"/>
                <w:szCs w:val="12"/>
                <w:color w:val="auto"/>
              </w:rPr>
            </w:pPr>
          </w:p>
        </w:tc>
        <w:tc>
          <w:tcPr>
            <w:tcW w:w="920" w:type="dxa"/>
            <w:vAlign w:val="bottom"/>
            <w:gridSpan w:val="2"/>
          </w:tcPr>
          <w:p>
            <w:pPr>
              <w:ind w:left="220"/>
              <w:spacing w:after="0" w:line="144" w:lineRule="exact"/>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2"/>
                <w:szCs w:val="12"/>
                <w:color w:val="auto"/>
              </w:rPr>
            </w:pPr>
          </w:p>
        </w:tc>
        <w:tc>
          <w:tcPr>
            <w:tcW w:w="560" w:type="dxa"/>
            <w:vAlign w:val="bottom"/>
          </w:tcPr>
          <w:p>
            <w:pPr>
              <w:jc w:val="right"/>
              <w:ind w:right="29"/>
              <w:spacing w:after="0" w:line="144"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Pr>
          <w:p>
            <w:pPr>
              <w:spacing w:after="0"/>
              <w:rPr>
                <w:sz w:val="12"/>
                <w:szCs w:val="12"/>
                <w:color w:val="auto"/>
              </w:rPr>
            </w:pPr>
          </w:p>
        </w:tc>
        <w:tc>
          <w:tcPr>
            <w:tcW w:w="840" w:type="dxa"/>
            <w:vAlign w:val="bottom"/>
            <w:gridSpan w:val="2"/>
          </w:tcPr>
          <w:p>
            <w:pPr>
              <w:jc w:val="center"/>
              <w:ind w:right="280"/>
              <w:spacing w:after="0" w:line="144"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140" w:type="dxa"/>
            <w:vAlign w:val="bottom"/>
          </w:tcPr>
          <w:p>
            <w:pPr>
              <w:spacing w:after="0"/>
              <w:rPr>
                <w:sz w:val="12"/>
                <w:szCs w:val="12"/>
                <w:color w:val="auto"/>
              </w:rPr>
            </w:pPr>
          </w:p>
        </w:tc>
        <w:tc>
          <w:tcPr>
            <w:tcW w:w="74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140" w:type="dxa"/>
            <w:vAlign w:val="bottom"/>
          </w:tcPr>
          <w:p>
            <w:pPr>
              <w:spacing w:after="0"/>
              <w:rPr>
                <w:sz w:val="12"/>
                <w:szCs w:val="12"/>
                <w:color w:val="auto"/>
              </w:rPr>
            </w:pPr>
          </w:p>
        </w:tc>
        <w:tc>
          <w:tcPr>
            <w:tcW w:w="640" w:type="dxa"/>
            <w:vAlign w:val="bottom"/>
          </w:tcPr>
          <w:p>
            <w:pPr>
              <w:jc w:val="center"/>
              <w:ind w:right="50"/>
              <w:spacing w:after="0" w:line="144" w:lineRule="exact"/>
              <w:rPr>
                <w:sz w:val="20"/>
                <w:szCs w:val="20"/>
                <w:color w:val="auto"/>
              </w:rPr>
            </w:pPr>
            <w:r>
              <w:rPr>
                <w:rFonts w:ascii="Times New Roman" w:cs="Times New Roman" w:eastAsia="Times New Roman" w:hAnsi="Times New Roman"/>
                <w:sz w:val="13"/>
                <w:szCs w:val="13"/>
                <w:b w:val="1"/>
                <w:bCs w:val="1"/>
                <w:color w:val="auto"/>
                <w:w w:val="95"/>
              </w:rPr>
              <w:t>Equity</w:t>
            </w:r>
          </w:p>
        </w:tc>
      </w:tr>
      <w:tr>
        <w:trPr>
          <w:trHeight w:val="169"/>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49,038,582</w:t>
            </w: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374,363</w:t>
            </w: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w:t>
            </w: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(334,717)</w:t>
            </w: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38,684</w:t>
            </w:r>
          </w:p>
        </w:tc>
      </w:tr>
      <w:tr>
        <w:trPr>
          <w:trHeight w:val="176"/>
        </w:trPr>
        <w:tc>
          <w:tcPr>
            <w:tcW w:w="3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w:t>
            </w:r>
          </w:p>
        </w:tc>
      </w:tr>
      <w:tr>
        <w:trPr>
          <w:trHeight w:val="176"/>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loss on marketable securities</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75"/>
        </w:trPr>
        <w:tc>
          <w:tcPr>
            <w:tcW w:w="3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(293)</w:t>
            </w:r>
          </w:p>
        </w:tc>
        <w:tc>
          <w:tcPr>
            <w:tcW w:w="14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r>
      <w:tr>
        <w:trPr>
          <w:trHeight w:val="176"/>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(5,701)</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(5,701)</w:t>
            </w:r>
          </w:p>
        </w:tc>
      </w:tr>
      <w:tr>
        <w:trPr>
          <w:trHeight w:val="169"/>
        </w:trPr>
        <w:tc>
          <w:tcPr>
            <w:tcW w:w="3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49,038,582</w:t>
            </w:r>
          </w:p>
        </w:tc>
        <w:tc>
          <w:tcPr>
            <w:tcW w:w="14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4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375,052</w:t>
            </w:r>
          </w:p>
        </w:tc>
        <w:tc>
          <w:tcPr>
            <w:tcW w:w="14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(1,275)</w:t>
            </w:r>
          </w:p>
        </w:tc>
        <w:tc>
          <w:tcPr>
            <w:tcW w:w="14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(340,418)</w:t>
            </w:r>
          </w:p>
        </w:tc>
        <w:tc>
          <w:tcPr>
            <w:tcW w:w="14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33,364</w:t>
            </w:r>
          </w:p>
        </w:tc>
      </w:tr>
      <w:tr>
        <w:trPr>
          <w:trHeight w:val="20"/>
        </w:trPr>
        <w:tc>
          <w:tcPr>
            <w:tcW w:w="37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492"/>
        </w:trPr>
        <w:tc>
          <w:tcPr>
            <w:tcW w:w="372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Three Months Ended March 31, 2023</w:t>
            </w: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r>
        <w:trPr>
          <w:trHeight w:val="123"/>
        </w:trPr>
        <w:tc>
          <w:tcPr>
            <w:tcW w:w="3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3"/>
          </w:tcPr>
          <w:p>
            <w:pPr>
              <w:jc w:val="center"/>
              <w:ind w:right="140"/>
              <w:spacing w:after="0" w:line="123"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48"/>
        </w:trPr>
        <w:tc>
          <w:tcPr>
            <w:tcW w:w="3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40" w:type="dxa"/>
            <w:vAlign w:val="bottom"/>
          </w:tcPr>
          <w:p>
            <w:pPr>
              <w:spacing w:after="0"/>
              <w:rPr>
                <w:sz w:val="12"/>
                <w:szCs w:val="12"/>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66"/>
        </w:trPr>
        <w:tc>
          <w:tcPr>
            <w:tcW w:w="3720" w:type="dxa"/>
            <w:vAlign w:val="bottom"/>
          </w:tcPr>
          <w:p>
            <w:pPr>
              <w:spacing w:after="0"/>
              <w:rPr>
                <w:sz w:val="14"/>
                <w:szCs w:val="14"/>
                <w:color w:val="auto"/>
              </w:rPr>
            </w:pPr>
          </w:p>
        </w:tc>
        <w:tc>
          <w:tcPr>
            <w:tcW w:w="1580" w:type="dxa"/>
            <w:vAlign w:val="bottom"/>
            <w:tcBorders>
              <w:bottom w:val="single" w:sz="8" w:color="auto"/>
            </w:tcBorders>
            <w:gridSpan w:val="4"/>
          </w:tcPr>
          <w:p>
            <w:pPr>
              <w:jc w:val="right"/>
              <w:ind w:right="309"/>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Paid-in</w:t>
            </w:r>
          </w:p>
        </w:tc>
        <w:tc>
          <w:tcPr>
            <w:tcW w:w="98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r>
      <w:tr>
        <w:trPr>
          <w:trHeight w:val="144"/>
        </w:trPr>
        <w:tc>
          <w:tcPr>
            <w:tcW w:w="3720" w:type="dxa"/>
            <w:vAlign w:val="bottom"/>
          </w:tcPr>
          <w:p>
            <w:pPr>
              <w:spacing w:after="0"/>
              <w:rPr>
                <w:sz w:val="12"/>
                <w:szCs w:val="12"/>
                <w:color w:val="auto"/>
              </w:rPr>
            </w:pPr>
          </w:p>
        </w:tc>
        <w:tc>
          <w:tcPr>
            <w:tcW w:w="920" w:type="dxa"/>
            <w:vAlign w:val="bottom"/>
            <w:gridSpan w:val="2"/>
          </w:tcPr>
          <w:p>
            <w:pPr>
              <w:ind w:left="220"/>
              <w:spacing w:after="0" w:line="144" w:lineRule="exact"/>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2"/>
                <w:szCs w:val="12"/>
                <w:color w:val="auto"/>
              </w:rPr>
            </w:pPr>
          </w:p>
        </w:tc>
        <w:tc>
          <w:tcPr>
            <w:tcW w:w="560" w:type="dxa"/>
            <w:vAlign w:val="bottom"/>
          </w:tcPr>
          <w:p>
            <w:pPr>
              <w:jc w:val="right"/>
              <w:ind w:right="29"/>
              <w:spacing w:after="0" w:line="144"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Pr>
          <w:p>
            <w:pPr>
              <w:spacing w:after="0"/>
              <w:rPr>
                <w:sz w:val="12"/>
                <w:szCs w:val="12"/>
                <w:color w:val="auto"/>
              </w:rPr>
            </w:pPr>
          </w:p>
        </w:tc>
        <w:tc>
          <w:tcPr>
            <w:tcW w:w="840" w:type="dxa"/>
            <w:vAlign w:val="bottom"/>
            <w:gridSpan w:val="2"/>
          </w:tcPr>
          <w:p>
            <w:pPr>
              <w:jc w:val="center"/>
              <w:ind w:right="280"/>
              <w:spacing w:after="0" w:line="144"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140" w:type="dxa"/>
            <w:vAlign w:val="bottom"/>
          </w:tcPr>
          <w:p>
            <w:pPr>
              <w:spacing w:after="0"/>
              <w:rPr>
                <w:sz w:val="12"/>
                <w:szCs w:val="12"/>
                <w:color w:val="auto"/>
              </w:rPr>
            </w:pPr>
          </w:p>
        </w:tc>
        <w:tc>
          <w:tcPr>
            <w:tcW w:w="74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140" w:type="dxa"/>
            <w:vAlign w:val="bottom"/>
          </w:tcPr>
          <w:p>
            <w:pPr>
              <w:spacing w:after="0"/>
              <w:rPr>
                <w:sz w:val="12"/>
                <w:szCs w:val="12"/>
                <w:color w:val="auto"/>
              </w:rPr>
            </w:pPr>
          </w:p>
        </w:tc>
        <w:tc>
          <w:tcPr>
            <w:tcW w:w="640" w:type="dxa"/>
            <w:vAlign w:val="bottom"/>
          </w:tcPr>
          <w:p>
            <w:pPr>
              <w:jc w:val="center"/>
              <w:ind w:right="50"/>
              <w:spacing w:after="0" w:line="144" w:lineRule="exact"/>
              <w:rPr>
                <w:sz w:val="20"/>
                <w:szCs w:val="20"/>
                <w:color w:val="auto"/>
              </w:rPr>
            </w:pPr>
            <w:r>
              <w:rPr>
                <w:rFonts w:ascii="Times New Roman" w:cs="Times New Roman" w:eastAsia="Times New Roman" w:hAnsi="Times New Roman"/>
                <w:sz w:val="13"/>
                <w:szCs w:val="13"/>
                <w:b w:val="1"/>
                <w:bCs w:val="1"/>
                <w:color w:val="auto"/>
                <w:w w:val="95"/>
              </w:rPr>
              <w:t>Equity</w:t>
            </w:r>
          </w:p>
        </w:tc>
      </w:tr>
      <w:tr>
        <w:trPr>
          <w:trHeight w:val="169"/>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46,553,511</w:t>
            </w: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364,361</w:t>
            </w: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(307,688)</w:t>
            </w: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56,115</w:t>
            </w:r>
          </w:p>
        </w:tc>
      </w:tr>
      <w:tr>
        <w:trPr>
          <w:trHeight w:val="175"/>
        </w:trPr>
        <w:tc>
          <w:tcPr>
            <w:tcW w:w="3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issued on exercise of stock options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76"/>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w:t>
            </w:r>
          </w:p>
        </w:tc>
      </w:tr>
      <w:tr>
        <w:trPr>
          <w:trHeight w:val="175"/>
        </w:trPr>
        <w:tc>
          <w:tcPr>
            <w:tcW w:w="3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gain on marketable securities</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75"/>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r>
      <w:tr>
        <w:trPr>
          <w:trHeight w:val="175"/>
        </w:trPr>
        <w:tc>
          <w:tcPr>
            <w:tcW w:w="3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(7,873)</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(7,873)</w:t>
            </w:r>
          </w:p>
        </w:tc>
      </w:tr>
      <w:tr>
        <w:trPr>
          <w:trHeight w:val="169"/>
        </w:trPr>
        <w:tc>
          <w:tcPr>
            <w:tcW w:w="3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2023</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46,568,511</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364,857</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(315,561)</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48,867</w:t>
            </w:r>
          </w:p>
        </w:tc>
      </w:tr>
      <w:tr>
        <w:trPr>
          <w:trHeight w:val="20"/>
        </w:trPr>
        <w:tc>
          <w:tcPr>
            <w:tcW w:w="37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CORVUS PHARMACEUTICALS, INC.</w:t>
      </w:r>
    </w:p>
    <w:p>
      <w:pPr>
        <w:spacing w:after="0" w:line="3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(unaudited)</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6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5"/>
        </w:trPr>
        <w:tc>
          <w:tcPr>
            <w:tcW w:w="6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4"/>
        </w:trPr>
        <w:tc>
          <w:tcPr>
            <w:tcW w:w="69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5"/>
                <w:szCs w:val="15"/>
                <w:color w:val="auto"/>
              </w:rPr>
            </w:pPr>
          </w:p>
        </w:tc>
      </w:tr>
      <w:tr>
        <w:trPr>
          <w:trHeight w:val="21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(5,701)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(7,873)</w:t>
            </w:r>
          </w:p>
        </w:tc>
      </w:tr>
      <w:tr>
        <w:trPr>
          <w:trHeight w:val="21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tcPr>
          <w:p>
            <w:pPr>
              <w:spacing w:after="0"/>
              <w:rPr>
                <w:sz w:val="18"/>
                <w:szCs w:val="18"/>
                <w:color w:val="auto"/>
              </w:rPr>
            </w:pPr>
          </w:p>
        </w:tc>
      </w:tr>
      <w:tr>
        <w:trPr>
          <w:trHeight w:val="216"/>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Accretion related to marketable securities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(264)</w:t>
            </w:r>
          </w:p>
        </w:tc>
      </w:tr>
      <w:tr>
        <w:trPr>
          <w:trHeight w:val="216"/>
        </w:trPr>
        <w:tc>
          <w:tcPr>
            <w:tcW w:w="6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60" w:type="dxa"/>
            <w:vAlign w:val="bottom"/>
          </w:tcPr>
          <w:p>
            <w:pPr>
              <w:spacing w:after="0"/>
              <w:rPr>
                <w:sz w:val="18"/>
                <w:szCs w:val="18"/>
                <w:color w:val="auto"/>
              </w:rPr>
            </w:pPr>
          </w:p>
        </w:tc>
      </w:tr>
      <w:tr>
        <w:trPr>
          <w:trHeight w:val="216"/>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(loss) from equity method investment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(236)</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160" w:type="dxa"/>
            <w:vAlign w:val="bottom"/>
            <w:shd w:val="clear" w:color="auto" w:fill="CCEEFF"/>
          </w:tcPr>
          <w:p>
            <w:pPr>
              <w:spacing w:after="0"/>
              <w:rPr>
                <w:sz w:val="18"/>
                <w:szCs w:val="18"/>
                <w:color w:val="auto"/>
              </w:rPr>
            </w:pPr>
          </w:p>
        </w:tc>
      </w:tr>
      <w:tr>
        <w:trPr>
          <w:trHeight w:val="216"/>
        </w:trPr>
        <w:tc>
          <w:tcPr>
            <w:tcW w:w="6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Accounts receivable - related party</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60" w:type="dxa"/>
            <w:vAlign w:val="bottom"/>
            <w:shd w:val="clear" w:color="auto" w:fill="CCEEFF"/>
          </w:tcPr>
          <w:p>
            <w:pPr>
              <w:spacing w:after="0"/>
              <w:rPr>
                <w:sz w:val="18"/>
                <w:szCs w:val="18"/>
                <w:color w:val="auto"/>
              </w:rPr>
            </w:pPr>
          </w:p>
        </w:tc>
      </w:tr>
      <w:tr>
        <w:trPr>
          <w:trHeight w:val="216"/>
        </w:trPr>
        <w:tc>
          <w:tcPr>
            <w:tcW w:w="6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60" w:type="dxa"/>
            <w:vAlign w:val="bottom"/>
          </w:tcPr>
          <w:p>
            <w:pPr>
              <w:spacing w:after="0"/>
              <w:rPr>
                <w:sz w:val="18"/>
                <w:szCs w:val="18"/>
                <w:color w:val="auto"/>
              </w:rPr>
            </w:pPr>
          </w:p>
        </w:tc>
      </w:tr>
      <w:tr>
        <w:trPr>
          <w:trHeight w:val="216"/>
        </w:trPr>
        <w:tc>
          <w:tcPr>
            <w:tcW w:w="6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60" w:type="dxa"/>
            <w:vAlign w:val="bottom"/>
            <w:shd w:val="clear" w:color="auto" w:fill="CCEEFF"/>
          </w:tcPr>
          <w:p>
            <w:pPr>
              <w:spacing w:after="0"/>
              <w:rPr>
                <w:sz w:val="18"/>
                <w:szCs w:val="18"/>
                <w:color w:val="auto"/>
              </w:rPr>
            </w:pPr>
          </w:p>
        </w:tc>
      </w:tr>
      <w:tr>
        <w:trPr>
          <w:trHeight w:val="216"/>
        </w:trPr>
        <w:tc>
          <w:tcPr>
            <w:tcW w:w="6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(569)</w:t>
            </w:r>
          </w:p>
        </w:tc>
      </w:tr>
      <w:tr>
        <w:trPr>
          <w:trHeight w:val="216"/>
        </w:trPr>
        <w:tc>
          <w:tcPr>
            <w:tcW w:w="6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(1,928)</w:t>
            </w:r>
          </w:p>
        </w:tc>
      </w:tr>
      <w:tr>
        <w:trPr>
          <w:trHeight w:val="216"/>
        </w:trPr>
        <w:tc>
          <w:tcPr>
            <w:tcW w:w="6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(334)</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(298)</w:t>
            </w:r>
          </w:p>
        </w:tc>
      </w:tr>
      <w:tr>
        <w:trPr>
          <w:trHeight w:val="209"/>
        </w:trPr>
        <w:tc>
          <w:tcPr>
            <w:tcW w:w="6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(8,111)</w:t>
            </w:r>
          </w:p>
        </w:tc>
        <w:tc>
          <w:tcPr>
            <w:tcW w:w="160" w:type="dxa"/>
            <w:vAlign w:val="bottom"/>
            <w:tcBorders>
              <w:top w:val="single" w:sz="8" w:color="CCEEFF"/>
            </w:tcBorders>
            <w:shd w:val="clear" w:color="auto" w:fill="CCEEFF"/>
          </w:tcPr>
          <w:p>
            <w:pPr>
              <w:spacing w:after="0"/>
              <w:rPr>
                <w:sz w:val="18"/>
                <w:szCs w:val="18"/>
                <w:color w:val="auto"/>
              </w:rPr>
            </w:pPr>
          </w:p>
        </w:tc>
      </w:tr>
      <w:tr>
        <w:trPr>
          <w:trHeight w:val="21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(4,628)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(13,089)</w:t>
            </w:r>
          </w:p>
        </w:tc>
      </w:tr>
      <w:tr>
        <w:trPr>
          <w:trHeight w:val="216"/>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17,725</w:t>
            </w:r>
          </w:p>
        </w:tc>
        <w:tc>
          <w:tcPr>
            <w:tcW w:w="160" w:type="dxa"/>
            <w:vAlign w:val="bottom"/>
          </w:tcPr>
          <w:p>
            <w:pPr>
              <w:spacing w:after="0"/>
              <w:rPr>
                <w:sz w:val="18"/>
                <w:szCs w:val="18"/>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w:t>
            </w:r>
          </w:p>
        </w:tc>
      </w:tr>
      <w:tr>
        <w:trPr>
          <w:trHeight w:val="210"/>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4,602</w:t>
            </w:r>
          </w:p>
        </w:tc>
        <w:tc>
          <w:tcPr>
            <w:tcW w:w="160" w:type="dxa"/>
            <w:vAlign w:val="bottom"/>
            <w:tcBorders>
              <w:bottom w:val="single" w:sz="8" w:color="CCEEFF"/>
            </w:tcBorders>
          </w:tcPr>
          <w:p>
            <w:pPr>
              <w:spacing w:after="0"/>
              <w:rPr>
                <w:sz w:val="18"/>
                <w:szCs w:val="18"/>
                <w:color w:val="auto"/>
              </w:rPr>
            </w:pPr>
          </w:p>
        </w:tc>
      </w:tr>
      <w:tr>
        <w:trPr>
          <w:trHeight w:val="21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exercise of common stock options</w:t>
            </w:r>
          </w:p>
        </w:tc>
        <w:tc>
          <w:tcPr>
            <w:tcW w:w="1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r>
      <w:tr>
        <w:trPr>
          <w:trHeight w:val="210"/>
        </w:trPr>
        <w:tc>
          <w:tcPr>
            <w:tcW w:w="6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top w:val="single" w:sz="8" w:color="CCEEFF"/>
            </w:tcBorders>
            <w:shd w:val="clear" w:color="auto" w:fill="CCEEFF"/>
          </w:tcPr>
          <w:p>
            <w:pPr>
              <w:spacing w:after="0"/>
              <w:rPr>
                <w:sz w:val="18"/>
                <w:szCs w:val="18"/>
                <w:color w:val="auto"/>
              </w:rPr>
            </w:pPr>
          </w:p>
        </w:tc>
      </w:tr>
      <w:tr>
        <w:trPr>
          <w:trHeight w:val="21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160" w:type="dxa"/>
            <w:vAlign w:val="bottom"/>
          </w:tcPr>
          <w:p>
            <w:pPr>
              <w:spacing w:after="0"/>
              <w:rPr>
                <w:sz w:val="18"/>
                <w:szCs w:val="18"/>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the period</w:t>
            </w: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12,620</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13,159</w:t>
            </w:r>
          </w:p>
        </w:tc>
        <w:tc>
          <w:tcPr>
            <w:tcW w:w="160" w:type="dxa"/>
            <w:vAlign w:val="bottom"/>
            <w:shd w:val="clear" w:color="auto" w:fill="CCEEFF"/>
          </w:tcPr>
          <w:p>
            <w:pPr>
              <w:spacing w:after="0"/>
              <w:rPr>
                <w:sz w:val="18"/>
                <w:szCs w:val="18"/>
                <w:color w:val="auto"/>
              </w:rPr>
            </w:pPr>
          </w:p>
        </w:tc>
      </w:tr>
      <w:tr>
        <w:trPr>
          <w:trHeight w:val="21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the period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7,456</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9,654</w:t>
            </w:r>
          </w:p>
        </w:tc>
        <w:tc>
          <w:tcPr>
            <w:tcW w:w="160" w:type="dxa"/>
            <w:vAlign w:val="bottom"/>
          </w:tcPr>
          <w:p>
            <w:pPr>
              <w:spacing w:after="0"/>
              <w:rPr>
                <w:sz w:val="18"/>
                <w:szCs w:val="18"/>
                <w:color w:val="auto"/>
              </w:rPr>
            </w:pPr>
          </w:p>
        </w:tc>
      </w:tr>
      <w:tr>
        <w:trPr>
          <w:trHeight w:val="20"/>
        </w:trPr>
        <w:tc>
          <w:tcPr>
            <w:tcW w:w="6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CORVUS PHARMACEUTICALS, INC.</w:t>
      </w:r>
    </w:p>
    <w:p>
      <w:pPr>
        <w:spacing w:after="0" w:line="22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229" w:lineRule="exact"/>
        <w:rPr>
          <w:sz w:val="20"/>
          <w:szCs w:val="20"/>
          <w:color w:val="auto"/>
        </w:rPr>
      </w:pPr>
    </w:p>
    <w:p>
      <w:pPr>
        <w:ind w:left="60" w:right="299" w:firstLine="648"/>
        <w:spacing w:after="0" w:line="258" w:lineRule="auto"/>
        <w:rPr>
          <w:sz w:val="20"/>
          <w:szCs w:val="20"/>
          <w:color w:val="auto"/>
        </w:rPr>
      </w:pPr>
      <w:r>
        <w:rPr>
          <w:rFonts w:ascii="Times New Roman" w:cs="Times New Roman" w:eastAsia="Times New Roman" w:hAnsi="Times New Roman"/>
          <w:sz w:val="18"/>
          <w:szCs w:val="18"/>
          <w:color w:val="auto"/>
        </w:rPr>
        <w:t>Corvus Pharmaceuticals, Inc. (“Corvus” or the “Company”) was incorporated in Delaware on January 27, 2014 and commenced operations in November 2014. Corvus is a clinical-stage biopharmaceutical company. The Company’s operations are located in Burlingame, California.</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Presentation</w:t>
      </w:r>
    </w:p>
    <w:p>
      <w:pPr>
        <w:spacing w:after="0" w:line="229" w:lineRule="exact"/>
        <w:rPr>
          <w:sz w:val="20"/>
          <w:szCs w:val="20"/>
          <w:color w:val="auto"/>
        </w:rPr>
      </w:pPr>
    </w:p>
    <w:p>
      <w:pPr>
        <w:ind w:left="60" w:right="479" w:firstLine="648"/>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wholly-owned subsidiaries, Corvus Biopharmaceuticals, Ltd. and Corvus Hong Kong Limited. All intercompany accounts and transactions have been eliminated from the condensed consolidated financial statements.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22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On March 22, 2016, the Company’s registration statement on Form S-1 (File No. 333-208850) relating to its initial public offering (“IPO”) of its common stock was declared effective by the Securities and Exchange Commission (“SEC”) and the shares of its common stock began trading on the Nasdaq Global Market on March 23, 2016. The public offering price of the shares sold in the IPO was $15.00 per share. The IPO closed on March 29, 2016, pursuant to which the Company sold 4,700,000 shares of its common stock. On April 26, 2016, the Company sold an additional 502,618 shares of its common stock to the underwriters upon partial exercise of their over-allotment option, at the initial offering price of $15.00 per share. The Company received aggregate net proceeds of approximately $70.6 million, after underwriting discounts, commissions and offering expenses. Immediately prior to the consummation of the IPO, all outstanding shares of convertible preferred stock were converted into common stock.</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Follow-on Public Offerings</w:t>
      </w:r>
    </w:p>
    <w:p>
      <w:pPr>
        <w:spacing w:after="0" w:line="216"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In March 2018, the Company completed a follow-on public offering in which the Company sold 8,117,647 shares of common stock at a price of $8.50 per share, which included 1,058,823 shares issued pursuant to the underwriters’ exercise of their option to purchase additional shares of common stock. The aggregate net proceeds received by the Company from the offering were approximately $64.9 million, net of underwriting discounts and commissions and offering expenses payable by the Company.</w:t>
      </w:r>
    </w:p>
    <w:p>
      <w:pPr>
        <w:spacing w:after="0" w:line="183"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In February 2021, the Company completed a follow-on public offering in which the Company sold 9,783,660 shares of common stock at a price of $3.50 per share, which included 1,212,231 shares issued pursuant to the underwriters’ exercise of their option to purchase additional shares of common stock. The aggregate net proceeds received by the Company from the offering were approximately $32.0 million, net of underwriting discounts and commissions and offering expenses.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16"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early-stage companies in the biotechnology industry, including, but not limited to, development by competitors of new technological innovations, protection of proprietary technology, dependence on key personnel, contract manufacturer and contract research organizations, compliance with government regulations and the need to obtain additional financing to fund operations. Since commencing operations in 2014, the majority of the Company’s efforts have been focused on the research and development of soquelitinib, ciforadenant and mupadolimab. The Company believes that it will continue to expend substantial resources for the foreseeable future as it continues clinical development of, seek regulatory approval for and, if approved, prepare for the commercialization of soquelitinib, ciforadenant and mupadolimab, as well as product candidates under the Company’s other development programs. These expenditures will include costs associated with research and development, conducting preclinical studies and clinical trials, obtaining regulatory approvals,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manufacturing and supply, sales and marketing and general operations. In addition, other unanticipated costs may arise. Because the outcome of any clinical trial and/or regulatory approval process is highly uncertain, the Company may not be able to accurately estimate the actual amounts necessary to successfully complete the development, regulatory approval process and commercialization of soquelitinib, ciforadenant and mupadolimab or any other product candidates.</w:t>
      </w:r>
    </w:p>
    <w:p>
      <w:pPr>
        <w:spacing w:after="0" w:line="180"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The Company has incurred significant losses and negative cash flows from operations in all periods since inception and had an accumulated deficit of $340.4 million as of March 31, 2024. The Company has historically financed its operations primarily through the sale of common stock and redeemable convertible preferred stock.</w:t>
      </w:r>
    </w:p>
    <w:p>
      <w:pPr>
        <w:spacing w:after="0" w:line="162" w:lineRule="exact"/>
        <w:rPr>
          <w:sz w:val="20"/>
          <w:szCs w:val="20"/>
          <w:color w:val="auto"/>
        </w:rPr>
      </w:pPr>
    </w:p>
    <w:p>
      <w:pPr>
        <w:ind w:left="60" w:right="279" w:firstLine="648"/>
        <w:spacing w:after="0" w:line="276" w:lineRule="auto"/>
        <w:rPr>
          <w:sz w:val="20"/>
          <w:szCs w:val="20"/>
          <w:color w:val="auto"/>
        </w:rPr>
      </w:pPr>
      <w:r>
        <w:rPr>
          <w:rFonts w:ascii="Times New Roman" w:cs="Times New Roman" w:eastAsia="Times New Roman" w:hAnsi="Times New Roman"/>
          <w:sz w:val="17"/>
          <w:szCs w:val="17"/>
          <w:color w:val="auto"/>
        </w:rPr>
        <w:t>As of March 31, 2024, the Company had cash, cash equivalents and short-term marketable securities of $22.1 million. On May 6, 2024, the Company received gross proceeds of $30.6 million in a registered direct offering (see Note</w:t>
      </w:r>
    </w:p>
    <w:p>
      <w:pPr>
        <w:spacing w:after="0" w:line="1" w:lineRule="exact"/>
        <w:rPr>
          <w:sz w:val="20"/>
          <w:szCs w:val="20"/>
          <w:color w:val="auto"/>
        </w:rPr>
      </w:pPr>
    </w:p>
    <w:p>
      <w:pPr>
        <w:ind w:left="60" w:right="59" w:hanging="10"/>
        <w:spacing w:after="0" w:line="250" w:lineRule="auto"/>
        <w:tabs>
          <w:tab w:leader="none" w:pos="33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Events). Management believes that the Company’s current cash, cash equivalents and short-term marketable securities will be sufficient to fund its planned operations for at least the next 12 months from the date of the issuance of these condensed consolidated financial statements. To fund the Company's planned operations, the Company will need to raise additional capital in the future. The Company intends to raise additional capital through private and public equity offerings, debt financings, and potential future collaboration, license and development agreements. However, there can be no assurance that the Company will be successful in acquiring additional funding at levels sufficient to fund its operations or on terms acceptable or at all. If the Company is unsuccessful in its efforts to raise additional capital or if sufficient funds on acceptable terms are not available when needed, the Company could be required to significantly reduce operating expenses and delay, reduce the scope of or eliminate one or more of its development programs, out-license intellectual property rights to its product candidates and sell unsecured assets, or a combination of the above, any of which may have a material adverse effect on the Company’s business, results of operations, financial condition or its ability to fund its obligations on a timely basis or at all. Failure to manage discretionary spending or raise additional capital, as needed, may adversely impact the Company’s ability to achieve its intended business objectives.</w:t>
      </w:r>
    </w:p>
    <w:p>
      <w:pPr>
        <w:spacing w:after="0" w:line="3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conformity with</w:t>
      </w:r>
    </w:p>
    <w:p>
      <w:pPr>
        <w:spacing w:after="0" w:line="27" w:lineRule="exact"/>
        <w:rPr>
          <w:sz w:val="20"/>
          <w:szCs w:val="20"/>
          <w:color w:val="auto"/>
        </w:rPr>
      </w:pPr>
    </w:p>
    <w:p>
      <w:pPr>
        <w:ind w:left="60" w:right="179"/>
        <w:spacing w:after="0" w:line="248" w:lineRule="auto"/>
        <w:rPr>
          <w:sz w:val="20"/>
          <w:szCs w:val="20"/>
          <w:color w:val="auto"/>
        </w:rPr>
      </w:pPr>
      <w:r>
        <w:rPr>
          <w:rFonts w:ascii="Times New Roman" w:cs="Times New Roman" w:eastAsia="Times New Roman" w:hAnsi="Times New Roman"/>
          <w:sz w:val="18"/>
          <w:szCs w:val="18"/>
          <w:color w:val="auto"/>
        </w:rPr>
        <w:t>accounting principles generally accepted in the United States of America (“U.S. GAAP”). The Company’s functional and reporting currency is the U.S. dollar, except for its investment in its equity method investee which is the Chinese renminbi (RMB). The accompanying condensed consolidated financial statements have been prepared on a going-concern basis, which contemplates the realization of assets and discharge of liabilities in the normal course of business.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229"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The accompanying interim condensed consolidated financial statements and related disclosures are unaudited, have been prepared on the same basis as the annual financial statements and, in the opinion of management, reflect all adjustments, which include only normal recurring adjustments, necessary for fair statement of the condensed consolidated financial statements presented.</w:t>
      </w:r>
    </w:p>
    <w:p>
      <w:pPr>
        <w:spacing w:after="0" w:line="187" w:lineRule="exact"/>
        <w:rPr>
          <w:sz w:val="20"/>
          <w:szCs w:val="20"/>
          <w:color w:val="auto"/>
        </w:rPr>
      </w:pPr>
    </w:p>
    <w:p>
      <w:pPr>
        <w:ind w:left="60" w:right="219" w:firstLine="648"/>
        <w:spacing w:after="0" w:line="253" w:lineRule="auto"/>
        <w:rPr>
          <w:sz w:val="20"/>
          <w:szCs w:val="20"/>
          <w:color w:val="auto"/>
        </w:rPr>
      </w:pPr>
      <w:r>
        <w:rPr>
          <w:rFonts w:ascii="Times New Roman" w:cs="Times New Roman" w:eastAsia="Times New Roman" w:hAnsi="Times New Roman"/>
          <w:sz w:val="18"/>
          <w:szCs w:val="18"/>
          <w:color w:val="auto"/>
        </w:rPr>
        <w:t>The condensed consolidated balance sheet as of December 31, 2023 was derived from audited financial statements, but does not include all disclosures required by GAAP. The condensed consolidated results of operations for the three months ended March 31, 2024 are not necessarily indicative of the results to be expected for the full year or for any other future year or interim period. The accompanying condensed consolidated financial statements should be read in conjunction with the audited financial statements and the related notes for the year ended December 31, 2023 included in the Company’s Annual Report on Form 10-K filed with the SEC on March 19, 2024.</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left="60" w:right="319" w:firstLine="648"/>
        <w:spacing w:after="0" w:line="266" w:lineRule="auto"/>
        <w:rPr>
          <w:sz w:val="20"/>
          <w:szCs w:val="20"/>
          <w:color w:val="auto"/>
        </w:rPr>
      </w:pPr>
      <w:r>
        <w:rPr>
          <w:rFonts w:ascii="Times New Roman" w:cs="Times New Roman" w:eastAsia="Times New Roman" w:hAnsi="Times New Roman"/>
          <w:sz w:val="18"/>
          <w:szCs w:val="18"/>
          <w:color w:val="auto"/>
        </w:rPr>
        <w:t>The preparation of the Company’s condensed consolidated financial statements in conformity with U.S. GAAP requires management to make estimates and assumptions that affect the amounts reported in the condensed consolidated financial statements and accompanying notes. Actual results could differ from such estimates.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Investments in Equity Securities</w:t>
      </w:r>
    </w:p>
    <w:p>
      <w:pPr>
        <w:spacing w:after="0" w:line="216"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Company uses the equity method of accounting for its equity investment if the investment provides the ability to exercise significant influence, but not control, over operating and financial policies of the investee.</w:t>
      </w:r>
    </w:p>
    <w:p>
      <w:pPr>
        <w:spacing w:after="0" w:line="162" w:lineRule="exact"/>
        <w:rPr>
          <w:sz w:val="20"/>
          <w:szCs w:val="20"/>
          <w:color w:val="auto"/>
        </w:rPr>
      </w:pPr>
    </w:p>
    <w:p>
      <w:pPr>
        <w:ind w:left="60" w:right="379" w:firstLine="648"/>
        <w:spacing w:after="0" w:line="253" w:lineRule="auto"/>
        <w:rPr>
          <w:sz w:val="20"/>
          <w:szCs w:val="20"/>
          <w:color w:val="auto"/>
        </w:rPr>
      </w:pPr>
      <w:r>
        <w:rPr>
          <w:rFonts w:ascii="Times New Roman" w:cs="Times New Roman" w:eastAsia="Times New Roman" w:hAnsi="Times New Roman"/>
          <w:sz w:val="18"/>
          <w:szCs w:val="18"/>
          <w:color w:val="auto"/>
        </w:rPr>
        <w:t>The Company’s proportionate share of the net income (loss) resulting from the equity method investment is reported under the line item captioned “income (loss) from equity method investment” in the Condensed Consolidated Statements of Operations and Comprehensive Loss and the carrying value of the equity method investments is reported under the line captioned “Investment in Angel Pharmaceuticals” in the Condensed Consolidated Balance Sheets. The Company’s equity method investments are reported at cost and adjusted each period for the Company’s share of the investee’s income or loss and the foreign currency translation adjustment as applicable.</w:t>
      </w:r>
    </w:p>
    <w:p>
      <w:pPr>
        <w:spacing w:after="0" w:line="189"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For equity method investees with a functional currency different than the Company’s reporting currency, the Company follows the guidance under ASC 830-10-15-5, pursuant to which, the foreign currency financial statements of a foreign investee accounted for by the equity method should be translated to the reporting entity's reporting currency.</w:t>
      </w:r>
    </w:p>
    <w:p>
      <w:pPr>
        <w:spacing w:after="0" w:line="176"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The Company evaluates equity method investments for impairment whenever events or changes in circumstances indicate that the carrying amount of the investment might not be recoverable. Factors considered by the Company when reviewing an equity method investment for impairment include the length of time (duration) and the extent (severity) to which the fair value of the equity method investment has been less than cost, the investee’s financial condition and near-term prospects and the intent and ability to hold the investment for a period of time sufficient to allow for anticipated recovery. An impairment that is other-than-temporary is recognized in the period identified.</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Note 5, “Equity Method Investment,” for further information.</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Other Risks and Uncertainties</w:t>
      </w:r>
    </w:p>
    <w:p>
      <w:pPr>
        <w:spacing w:after="0" w:line="216"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Substantially all of the Company’s cash and cash equivalents are deposited in accounts with two financial institutions that management believes are of high credit quality. Such deposits may, at times, exceed federally insured limits. The Company maintains its cash with an accredited financial institution and accordingly, such funds are subject to minimal credit risk. The Company’s marketable securities consist of investments in U.S. Treasury securities and U.S. government agency securities, which can be subject to certain credit risks. However, the Company mitigates the risks by investing in high-grade instruments, limiting its exposure to any one issuer, and monitoring the ongoing creditworthiness of the financial institutions and issuers. The Company has not experienced any losses on its deposits of cash, cash equivalents or marketable securities.</w:t>
      </w:r>
    </w:p>
    <w:p>
      <w:pPr>
        <w:spacing w:after="0" w:line="192"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Company is subject to a number of risks similar to other early stage biopharmaceutical companies, including, but not limited to, the need to obtain adequate additional funding, possible failure of preclinical testing or clinical trials, its reliance on third parties to conduct its clinical trials, the need to obtain marketing approval for its product candidates, competitors developing new technological innovations, the need to successfully commercialize and gain market acceptance of the Company’s product candidates, its right to develop and commercialize its product candidates pursuant to the terms and conditions of the licenses granted to the Company, and protection of proprietary technology. If the Company does not successfully commercialize or partner any of its product candidates, it will be unable to generate product revenue or achieve profitability.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29" w:lineRule="exact"/>
        <w:rPr>
          <w:sz w:val="20"/>
          <w:szCs w:val="20"/>
          <w:color w:val="auto"/>
        </w:rPr>
      </w:pPr>
    </w:p>
    <w:p>
      <w:pPr>
        <w:ind w:left="60" w:right="59" w:firstLine="648"/>
        <w:spacing w:after="0" w:line="281" w:lineRule="auto"/>
        <w:rPr>
          <w:sz w:val="20"/>
          <w:szCs w:val="20"/>
          <w:color w:val="auto"/>
        </w:rPr>
      </w:pPr>
      <w:r>
        <w:rPr>
          <w:rFonts w:ascii="Times New Roman" w:cs="Times New Roman" w:eastAsia="Times New Roman" w:hAnsi="Times New Roman"/>
          <w:sz w:val="17"/>
          <w:szCs w:val="17"/>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views its operations and manages its business in one operating segment, that of the development of and commercialization of precisely targeted oncology and immune-mediated therapies.</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9" w:lineRule="exact"/>
        <w:rPr>
          <w:sz w:val="20"/>
          <w:szCs w:val="20"/>
          <w:color w:val="auto"/>
        </w:rPr>
      </w:pPr>
    </w:p>
    <w:p>
      <w:pPr>
        <w:ind w:left="60" w:right="379" w:firstLine="648"/>
        <w:spacing w:after="0" w:line="289" w:lineRule="auto"/>
        <w:rPr>
          <w:sz w:val="20"/>
          <w:szCs w:val="20"/>
          <w:color w:val="auto"/>
        </w:rPr>
      </w:pPr>
      <w:r>
        <w:rPr>
          <w:rFonts w:ascii="Times New Roman" w:cs="Times New Roman" w:eastAsia="Times New Roman" w:hAnsi="Times New Roman"/>
          <w:sz w:val="17"/>
          <w:szCs w:val="17"/>
          <w:color w:val="auto"/>
        </w:rPr>
        <w:t>The Company’s significant accounting policies are described in Note 2 to its condensed consolidated financial statements for the year ended December 31, 2023, included in its Annual Report on Form 10-K. There have been no material changes to the Company’s significant accounting policies during the three months ended March 31, 2024.</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16"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In October 2023, the FASB issued ASU 2023-06, Disclosure Improvements: Codification Amendments in Response to the SEC's Disclosure Update and Simplification Initiative, which modifies the disclosure or presentation requirements related to variety of FASB Accounting Standard Codification topics. The effective date for each amendment will be the date on which the SEC's removal of that related disclosure from Regulation S-X or Regulation S-K is effective. If by June 30, 2027, the SEC has not removed the applicable requirement from Regulation S-X or Regulation S-K, the pending content of the associated amendment will be removed from the Codification and will not become effective for any entities. The Company is currently evaluating the effect of adopting this ASU.</w:t>
      </w:r>
    </w:p>
    <w:p>
      <w:pPr>
        <w:spacing w:after="0" w:line="175"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which amends the guidance in ASC 740, Income Taxes. The ASU is intended to improve the transparency of income tax disclosures by requiring (1) consistent categories and greater disaggregation of information in the rate reconciliation and (2) income taxes paid disaggregated by jurisdiction. It also includes certain other amendments to improve the effectiveness of income tax disclosures. The ASU’s amendments are effective for public business entities for annual periods beginning after December 15, 2024. Entities are permitted to early adopt the standard “for annual financial statements that have not yet been issued or made available for issuance.” As adoption is either prospectively or retrospectively, the Company will adopt this ASU on a prospective basis. The Company is currently evaluating the impact of this ASU but does not expect any material impacts upon adoption.</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Net Loss per Share</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The following table shows the calculation of net loss per share (in thousands, except share and per share data):</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-127635</wp:posOffset>
            </wp:positionV>
            <wp:extent cx="564896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48960" cy="145415"/>
                    </a:xfrm>
                    <a:prstGeom prst="rect">
                      <a:avLst/>
                    </a:prstGeom>
                    <a:noFill/>
                  </pic:spPr>
                </pic:pic>
              </a:graphicData>
            </a:graphic>
          </wp:anchor>
        </w:drawing>
      </w:r>
    </w:p>
    <w:p>
      <w:pPr>
        <w:spacing w:after="0" w:line="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Net loss -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wp:posOffset>
            </wp:positionV>
            <wp:extent cx="564896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Denominator:</w:t>
      </w:r>
    </w:p>
    <w:p>
      <w:pPr>
        <w:spacing w:after="0" w:line="27" w:lineRule="exact"/>
        <w:rPr>
          <w:sz w:val="20"/>
          <w:szCs w:val="20"/>
          <w:color w:val="auto"/>
        </w:rPr>
      </w:pPr>
    </w:p>
    <w:p>
      <w:pPr>
        <w:ind w:left="280"/>
        <w:spacing w:after="0" w:line="255" w:lineRule="auto"/>
        <w:rPr>
          <w:sz w:val="20"/>
          <w:szCs w:val="20"/>
          <w:color w:val="auto"/>
        </w:rPr>
      </w:pPr>
      <w:r>
        <w:rPr>
          <w:rFonts w:ascii="Times New Roman" w:cs="Times New Roman" w:eastAsia="Times New Roman" w:hAnsi="Times New Roman"/>
          <w:sz w:val="18"/>
          <w:szCs w:val="18"/>
          <w:color w:val="auto"/>
        </w:rPr>
        <w:t>Weighted average common shares outstanding used to compute basic and diluted net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-4445</wp:posOffset>
            </wp:positionV>
            <wp:extent cx="564896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color w:val="auto"/>
        </w:rPr>
        <w:t>Net loss per share, basic and diluted</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425"/>
        </w:trPr>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(5,701)</w:t>
            </w:r>
          </w:p>
        </w:tc>
        <w:tc>
          <w:tcPr>
            <w:tcW w:w="16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(7,873)</w:t>
            </w:r>
          </w:p>
        </w:tc>
      </w:tr>
      <w:tr>
        <w:trPr>
          <w:trHeight w:val="20"/>
        </w:trPr>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49,038,582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46,556,178</w:t>
            </w:r>
          </w:p>
        </w:tc>
      </w:tr>
      <w:tr>
        <w:trPr>
          <w:trHeight w:val="209"/>
        </w:trPr>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(0.17)</w:t>
            </w: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6360" w:space="200"/>
            <w:col w:w="2459"/>
          </w:cols>
          <w:pgMar w:left="1440" w:top="607" w:right="1440" w:bottom="1440" w:gutter="0" w:footer="0" w:header="0"/>
          <w:type w:val="continuous"/>
        </w:sect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The amounts in the table below were excluded from the calculation of diluted net loss per share, due to their anti-dilutive effect:</w:t>
      </w:r>
    </w:p>
    <w:p>
      <w:pPr>
        <w:spacing w:after="0" w:line="155"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179"/>
        </w:trPr>
        <w:tc>
          <w:tcPr>
            <w:tcW w:w="6900" w:type="dxa"/>
            <w:vAlign w:val="bottom"/>
            <w:tcBorders>
              <w:bottom w:val="single" w:sz="8" w:color="CCEEFF"/>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bottom w:val="single" w:sz="8" w:color="CCEEFF"/>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5"/>
                <w:szCs w:val="15"/>
                <w:color w:val="auto"/>
              </w:rPr>
            </w:pPr>
          </w:p>
        </w:tc>
      </w:tr>
      <w:tr>
        <w:trPr>
          <w:trHeight w:val="21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options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9,615,400</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7,731,807</w:t>
            </w:r>
          </w:p>
        </w:tc>
        <w:tc>
          <w:tcPr>
            <w:tcW w:w="140" w:type="dxa"/>
            <w:vAlign w:val="bottom"/>
            <w:shd w:val="clear" w:color="auto" w:fill="CCEEFF"/>
          </w:tcPr>
          <w:p>
            <w:pPr>
              <w:spacing w:after="0"/>
              <w:rPr>
                <w:sz w:val="18"/>
                <w:szCs w:val="18"/>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16"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Financial assets and liabilities are measured and recorded at fair value. The Company is required to disclose information on all assets and liabilities reported at fair value that enables an assessment of the inputs used in determining the reported fair values. The fair value hierarchy prioritizes valuation inputs based on the observable nature of those inputs. The fair value hierarchy applies only to the valuation inputs used in determining the reported fair value of the investments and is not a measure of the investment credit quality. The hierarchy defines three levels of valuation inputs:</w:t>
      </w:r>
    </w:p>
    <w:p>
      <w:pPr>
        <w:spacing w:after="0" w:line="183" w:lineRule="exact"/>
        <w:rPr>
          <w:sz w:val="20"/>
          <w:szCs w:val="20"/>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225" w:lineRule="exact"/>
        <w:rPr>
          <w:rFonts w:ascii="Times New Roman" w:cs="Times New Roman" w:eastAsia="Times New Roman" w:hAnsi="Times New Roman"/>
          <w:sz w:val="18"/>
          <w:szCs w:val="18"/>
          <w:color w:val="auto"/>
        </w:rPr>
      </w:pPr>
    </w:p>
    <w:p>
      <w:pPr>
        <w:ind w:left="1040" w:right="99" w:hanging="315"/>
        <w:spacing w:after="0" w:line="266"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other than quoted prices included within Level 1 that are observable for the asset or liability, either directly or indirectly</w:t>
      </w:r>
    </w:p>
    <w:p>
      <w:pPr>
        <w:spacing w:after="0" w:line="175" w:lineRule="exact"/>
        <w:rPr>
          <w:rFonts w:ascii="Times New Roman" w:cs="Times New Roman" w:eastAsia="Times New Roman" w:hAnsi="Times New Roman"/>
          <w:sz w:val="18"/>
          <w:szCs w:val="18"/>
          <w:color w:val="auto"/>
        </w:rPr>
      </w:pPr>
    </w:p>
    <w:p>
      <w:pPr>
        <w:ind w:left="1040" w:right="339" w:hanging="31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reflect the Company’s own assumptions about the assumptions market participants would use in pricing the asset or liability</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There have been no transfers of assets and liabilities between levels of hierarchy.</w:t>
      </w:r>
    </w:p>
    <w:p>
      <w:pPr>
        <w:spacing w:after="0" w:line="225"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 Company’s Level 2 investments are valued using third-party pricing sources.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investments, issuer credit spreads, benchmark investments, prepayment/default projections based on historical data and other observable inputs.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37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tables present information as of March 31, 2024 and December 31, 2023 about the Company’s assets that are measured at fair value on a recurring basis and indicate the level of the fair value hierarchy the Company utilized to determine such fair values (in thousands):</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34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174"/>
        </w:trPr>
        <w:tc>
          <w:tcPr>
            <w:tcW w:w="34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7"/>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Fair Value Measured Using</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9"/>
        </w:trPr>
        <w:tc>
          <w:tcPr>
            <w:tcW w:w="3400" w:type="dxa"/>
            <w:vAlign w:val="bottom"/>
            <w:tcBorders>
              <w:bottom w:val="single" w:sz="8" w:color="CCEEFF"/>
            </w:tcBorders>
          </w:tcPr>
          <w:p>
            <w:pPr>
              <w:spacing w:after="0"/>
              <w:rPr>
                <w:sz w:val="14"/>
                <w:szCs w:val="14"/>
                <w:color w:val="auto"/>
              </w:rPr>
            </w:pPr>
          </w:p>
        </w:tc>
        <w:tc>
          <w:tcPr>
            <w:tcW w:w="16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Balance</w:t>
            </w:r>
          </w:p>
        </w:tc>
      </w:tr>
      <w:tr>
        <w:trPr>
          <w:trHeight w:val="209"/>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3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equivalents</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7,447</w:t>
            </w:r>
          </w:p>
        </w:tc>
      </w:tr>
      <w:tr>
        <w:trPr>
          <w:trHeight w:val="216"/>
        </w:trPr>
        <w:tc>
          <w:tcPr>
            <w:tcW w:w="3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1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14,672</w:t>
            </w:r>
          </w:p>
        </w:tc>
      </w:tr>
      <w:tr>
        <w:trPr>
          <w:trHeight w:val="209"/>
        </w:trPr>
        <w:tc>
          <w:tcPr>
            <w:tcW w:w="3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17,800</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4,319</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22,119</w:t>
            </w:r>
          </w:p>
        </w:tc>
      </w:tr>
      <w:tr>
        <w:trPr>
          <w:trHeight w:val="20"/>
        </w:trPr>
        <w:tc>
          <w:tcPr>
            <w:tcW w:w="3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381"/>
        </w:trPr>
        <w:tc>
          <w:tcPr>
            <w:tcW w:w="34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174"/>
        </w:trPr>
        <w:tc>
          <w:tcPr>
            <w:tcW w:w="34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7"/>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Fair Value Measured Using</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9"/>
        </w:trPr>
        <w:tc>
          <w:tcPr>
            <w:tcW w:w="3400" w:type="dxa"/>
            <w:vAlign w:val="bottom"/>
            <w:tcBorders>
              <w:bottom w:val="single" w:sz="8" w:color="CCEEFF"/>
            </w:tcBorders>
          </w:tcPr>
          <w:p>
            <w:pPr>
              <w:spacing w:after="0"/>
              <w:rPr>
                <w:sz w:val="14"/>
                <w:szCs w:val="14"/>
                <w:color w:val="auto"/>
              </w:rPr>
            </w:pPr>
          </w:p>
        </w:tc>
        <w:tc>
          <w:tcPr>
            <w:tcW w:w="16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Balance</w:t>
            </w:r>
          </w:p>
        </w:tc>
      </w:tr>
      <w:tr>
        <w:trPr>
          <w:trHeight w:val="210"/>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3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equivalents</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12,280</w:t>
            </w:r>
          </w:p>
        </w:tc>
      </w:tr>
      <w:tr>
        <w:trPr>
          <w:trHeight w:val="216"/>
        </w:trPr>
        <w:tc>
          <w:tcPr>
            <w:tcW w:w="3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1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14,529</w:t>
            </w:r>
          </w:p>
        </w:tc>
      </w:tr>
      <w:tr>
        <w:trPr>
          <w:trHeight w:val="209"/>
        </w:trPr>
        <w:tc>
          <w:tcPr>
            <w:tcW w:w="3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22,636</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4,173</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26,809</w:t>
            </w:r>
          </w:p>
        </w:tc>
      </w:tr>
      <w:tr>
        <w:trPr>
          <w:trHeight w:val="20"/>
        </w:trPr>
        <w:tc>
          <w:tcPr>
            <w:tcW w:w="3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March 31, 2024 marketable securities had a maximum remaining maturity of eight months.</w:t>
      </w:r>
    </w:p>
    <w:p>
      <w:pPr>
        <w:spacing w:after="0" w:line="212" w:lineRule="exact"/>
        <w:rPr>
          <w:sz w:val="20"/>
          <w:szCs w:val="20"/>
          <w:color w:val="auto"/>
        </w:rPr>
      </w:pPr>
    </w:p>
    <w:p>
      <w:pPr>
        <w:jc w:val="both"/>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the fair value of available for sale marketable securities by type of security were as follows (in thousands):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4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r>
      <w:tr>
        <w:trPr>
          <w:trHeight w:val="149"/>
        </w:trPr>
        <w:tc>
          <w:tcPr>
            <w:tcW w:w="4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75"/>
        </w:trPr>
        <w:tc>
          <w:tcPr>
            <w:tcW w:w="4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8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8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94"/>
        </w:trPr>
        <w:tc>
          <w:tcPr>
            <w:tcW w:w="4100" w:type="dxa"/>
            <w:vAlign w:val="bottom"/>
            <w:tcBorders>
              <w:bottom w:val="single" w:sz="8" w:color="CCEEFF"/>
            </w:tcBorders>
          </w:tcPr>
          <w:p>
            <w:pPr>
              <w:spacing w:after="0"/>
              <w:rPr>
                <w:sz w:val="16"/>
                <w:szCs w:val="16"/>
                <w:color w:val="auto"/>
              </w:rPr>
            </w:pPr>
          </w:p>
        </w:tc>
        <w:tc>
          <w:tcPr>
            <w:tcW w:w="15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5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$ 10,353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10,353</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4,319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4,319</w:t>
            </w:r>
          </w:p>
        </w:tc>
      </w:tr>
      <w:tr>
        <w:trPr>
          <w:trHeight w:val="210"/>
        </w:trPr>
        <w:tc>
          <w:tcPr>
            <w:tcW w:w="4100" w:type="dxa"/>
            <w:vAlign w:val="bottom"/>
            <w:tcBorders>
              <w:top w:val="single" w:sz="8" w:color="CCEEFF"/>
              <w:bottom w:val="single" w:sz="8" w:color="CCEEFF"/>
            </w:tcBorders>
            <w:shd w:val="clear" w:color="auto" w:fill="CCEEFF"/>
          </w:tcPr>
          <w:p>
            <w:pPr>
              <w:spacing w:after="0"/>
              <w:rPr>
                <w:sz w:val="18"/>
                <w:szCs w:val="18"/>
                <w:color w:val="auto"/>
              </w:rPr>
            </w:pPr>
          </w:p>
        </w:tc>
        <w:tc>
          <w:tcPr>
            <w:tcW w:w="15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$ 14,672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14,672</w:t>
            </w:r>
          </w:p>
        </w:tc>
      </w:tr>
      <w:tr>
        <w:trPr>
          <w:trHeight w:val="20"/>
        </w:trPr>
        <w:tc>
          <w:tcPr>
            <w:tcW w:w="4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380"/>
        </w:trPr>
        <w:tc>
          <w:tcPr>
            <w:tcW w:w="4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r>
      <w:tr>
        <w:trPr>
          <w:trHeight w:val="149"/>
        </w:trPr>
        <w:tc>
          <w:tcPr>
            <w:tcW w:w="4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75"/>
        </w:trPr>
        <w:tc>
          <w:tcPr>
            <w:tcW w:w="4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8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8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94"/>
        </w:trPr>
        <w:tc>
          <w:tcPr>
            <w:tcW w:w="4100" w:type="dxa"/>
            <w:vAlign w:val="bottom"/>
            <w:tcBorders>
              <w:bottom w:val="single" w:sz="8" w:color="CCEEFF"/>
            </w:tcBorders>
          </w:tcPr>
          <w:p>
            <w:pPr>
              <w:spacing w:after="0"/>
              <w:rPr>
                <w:sz w:val="16"/>
                <w:szCs w:val="16"/>
                <w:color w:val="auto"/>
              </w:rPr>
            </w:pPr>
          </w:p>
        </w:tc>
        <w:tc>
          <w:tcPr>
            <w:tcW w:w="15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5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$ 10,348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10,356</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4,173</w:t>
            </w:r>
          </w:p>
        </w:tc>
      </w:tr>
      <w:tr>
        <w:trPr>
          <w:trHeight w:val="210"/>
        </w:trPr>
        <w:tc>
          <w:tcPr>
            <w:tcW w:w="41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14,529</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Equity Method Investment</w:t>
      </w:r>
    </w:p>
    <w:p>
      <w:pPr>
        <w:spacing w:after="0" w:line="216" w:lineRule="exact"/>
        <w:rPr>
          <w:sz w:val="20"/>
          <w:szCs w:val="20"/>
          <w:color w:val="auto"/>
        </w:rPr>
      </w:pPr>
    </w:p>
    <w:p>
      <w:pPr>
        <w:jc w:val="both"/>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Angel Pharmaceuticals Co. Ltd. (“Angel”) is a corporate venture in the People’s Republic of China designed to develop, manufacture, and commercialize soquelitinib, ciforadenant and mupadolimab compounds for distribution within the countries of China, Taiwan, Macao, and Hong Kong based on intellectual property licenses to be contributed to Angel by the Company.</w:t>
      </w:r>
    </w:p>
    <w:p>
      <w:pPr>
        <w:spacing w:after="0" w:line="180"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As of March 31, 2024 and December 31, 2023, the Company’s ownership interest in Angel was approximately 49.7%, excluding 7% of Angel’s equity reserved for issuance under the Angel Employee Stock Ownership Plan, and is accounted for as an equity method investment. The Company recognized its share of income in Angel for the total amount of $0.2 million as income and $1.7 million as loss from equity method investment in the condensed consolidated statement of operations for the three months ended March 31, 2024 and 2023, respectively.</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Summary Financial Information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Summary financial information for Angel Pharmaceuticals is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95"/>
        </w:trPr>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Data</w:t>
            </w:r>
          </w:p>
        </w:tc>
        <w:tc>
          <w:tcPr>
            <w:tcW w:w="200" w:type="dxa"/>
            <w:vAlign w:val="bottom"/>
          </w:tcPr>
          <w:p>
            <w:pPr>
              <w:spacing w:after="0"/>
              <w:rPr>
                <w:sz w:val="16"/>
                <w:szCs w:val="16"/>
                <w:color w:val="auto"/>
              </w:rPr>
            </w:pPr>
          </w:p>
        </w:tc>
        <w:tc>
          <w:tcPr>
            <w:tcW w:w="1240" w:type="dxa"/>
            <w:vAlign w:val="bottom"/>
            <w:tcBorders>
              <w:bottom w:val="single" w:sz="8" w:color="auto"/>
            </w:tcBorders>
            <w:gridSpan w:val="4"/>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6"/>
                <w:szCs w:val="16"/>
                <w:color w:val="auto"/>
              </w:rPr>
            </w:pPr>
          </w:p>
        </w:tc>
        <w:tc>
          <w:tcPr>
            <w:tcW w:w="12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6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17,301</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16,615</w:t>
            </w: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6"/>
        </w:trPr>
        <w:tc>
          <w:tcPr>
            <w:tcW w:w="6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gridSpan w:val="7"/>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6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Statement of Operations Data</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6240" w:type="dxa"/>
            <w:vAlign w:val="bottom"/>
            <w:tcBorders>
              <w:bottom w:val="single" w:sz="8" w:color="auto"/>
            </w:tcBorders>
            <w:gridSpan w:val="2"/>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6"/>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64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 of loss from investments accounted for using the equity method</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License and Collaboration Agreements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Scripps Licensing Agreement</w:t>
      </w:r>
    </w:p>
    <w:p>
      <w:pPr>
        <w:spacing w:after="0" w:line="229"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In December 2014, the Company entered into a license agreement with The Scripps Research Institute (“Scripps”), pursuant to which it was granted a non-exclusive, world-wide license for all fields of use under Scripps’ rights in certain know-how and technology related to a mouse hybridoma clone expressing an anti-human CD73 antibody, and to progeny, mutants or unmodified derivatives of such hybridoma and any antibodies expressed by such hybridoma, from which we developed mupadolimab. Scripps also granted the Company the right to grant sublicenses in conjunction with other proprietary rights the Company holds, or to others collaborating with or performing services for the Company. Under this license agreement, Scripps has agreed not to grant any additional commercial licenses with respect to such materials, other than march-in rights granted to the U.S. government.</w:t>
      </w:r>
    </w:p>
    <w:p>
      <w:pPr>
        <w:spacing w:after="0" w:line="178"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Upon execution of the agreement, the Company made a one-time cash payment to Scripps of $10,000 and is also obligated to pay a minimum annual fee to Scripps of $25,000. The first minimum annual fee payment is due on each anniversary of the effective date of the agreement and will be due on each subsequent anniversary of the effective date for the term of the agreement. The Company is also required to make performance-based cash payments upon successful completion of clinical and sales milestones. The aggregate potential milestone payments are $2.6 million. The Company is also required to pay royalties on net sales of licensed products (including mupadolimab) sold by it, its affiliates and its sublicensees at a rate in the low-single digits. In addition, should the Company sublicense the rights licensed under the agreement, it has agreed to pay a percentage of sublicense revenue received at specified rates that start at double digit percentages and decrease to single digit percentages based on the elapsed time from the effective date of the agreement and the time of entry into such sublicense. To date, no milestone payments have been made.</w:t>
      </w:r>
    </w:p>
    <w:p>
      <w:pPr>
        <w:spacing w:after="0" w:line="18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The Company’s license agreement with Scripps will terminate upon expiration of its obligation to pay royalties to Scripps under the license agreement. The Company’s license agreement with Scripps is terminable by the consent of the parties, at will by the Company upon providing 90 days written notice to Scripps, or by Scripps for certain material breaches, or if the Company undergoes a bankruptcy event. In addition, Scripps may terminate the license on a product-by-product basis, or the entire agreement, if the Company fails to meet specified diligence obligations related to the development and commercialization of licensed products. Scripps may also terminate the agreement after the third anniversary of the effective date of the agreement if it reasonably believes, based on reports the Company provides to</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499"/>
        <w:spacing w:after="0" w:line="282" w:lineRule="auto"/>
        <w:rPr>
          <w:sz w:val="20"/>
          <w:szCs w:val="20"/>
          <w:color w:val="auto"/>
        </w:rPr>
      </w:pPr>
      <w:r>
        <w:rPr>
          <w:rFonts w:ascii="Times New Roman" w:cs="Times New Roman" w:eastAsia="Times New Roman" w:hAnsi="Times New Roman"/>
          <w:sz w:val="18"/>
          <w:szCs w:val="18"/>
          <w:color w:val="auto"/>
        </w:rPr>
        <w:t>Scripps, that the Company has not used commercially reasonable efforts as required under the agreement, subject to a specified notice and cure period.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Vernalis Licensing Agreement</w:t>
      </w:r>
    </w:p>
    <w:p>
      <w:pPr>
        <w:spacing w:after="0" w:line="229" w:lineRule="exact"/>
        <w:rPr>
          <w:sz w:val="20"/>
          <w:szCs w:val="20"/>
          <w:color w:val="auto"/>
        </w:rPr>
      </w:pPr>
    </w:p>
    <w:p>
      <w:pPr>
        <w:ind w:left="60" w:right="119" w:firstLine="648"/>
        <w:spacing w:after="0" w:line="249" w:lineRule="auto"/>
        <w:rPr>
          <w:sz w:val="20"/>
          <w:szCs w:val="20"/>
          <w:color w:val="auto"/>
        </w:rPr>
      </w:pPr>
      <w:r>
        <w:rPr>
          <w:rFonts w:ascii="Times New Roman" w:cs="Times New Roman" w:eastAsia="Times New Roman" w:hAnsi="Times New Roman"/>
          <w:sz w:val="18"/>
          <w:szCs w:val="18"/>
          <w:color w:val="auto"/>
        </w:rPr>
        <w:t>In February 2015, the Company entered into a license agreement with Vernalis (R&amp;D) Limited (“Vernalis”), which was subsequently amended as of November 5, 2015, and, pursuant to which the Company was granted an exclusive, worldwide license under certain patent rights and know-how, including a limited right to grant sublicenses, for all fields of use to develop, manufacture and commercialize products containing certain adenosine receptor antagonists, including ciforadenant. Pursuant to this agreement, the Company made a one-time cash payment to Vernalis in the amount of $1.0 million, which was recorded as research and development expense as technological feasibility of the asset had not been established and there was no alternative future use. The Company is also required to make cash milestone payments to Vernalis upon the successful completion of clinical and regulatory milestones for licensed products depending on the indications for which such licensed products are developed and upon achievement of certain sales milestones. In February 2017, the Company made a milestone payment of $3.0 million to Vernalis following the expansion of a cohort of patients with renal cell cancer treated with single agent ciforadenant in the Company’s Phase 1/1b clinical trial. During the three months ended March 31, 2024, no clinical or regulatory milestones were completed or paid to Vernalis and the aggregate potential milestone payments were approximately $220 million for all indications as of March 31, 2024. The Company has also agreed to pay Vernalis tiered incremental royalties based on the annual net sales of licensed products containing ciforadenant on a product by product and country by country basis, subject to certain offsets and reductions. The tiered royalty rates for products containing ciforadenant range from the mid single digits up to the low double digits on a country by country net sales basis. The royalties on other licensed products that do not include ciforadenant also increase with the amount of net sales on a product-by-product and country by country basis and range from the low single digits up to the mid single digits on a country by country net sales basis. The Company is also obligated to pay to Vernalis certain sales milestones as indicated above when worldwide net sales reach specified levels over an agreed upon time period.</w:t>
      </w:r>
    </w:p>
    <w:p>
      <w:pPr>
        <w:spacing w:after="0" w:line="201"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Company has also agreed to pay Vernalis tiered incremental royalties based on the annual net sales of licensed products containing ciforadenant on a product-by-product and country-by-country basis, subject to certain offsets and reductions. The tiered royalty rates for products containing ciforadenant range from the mid-single digits up to the low-double digits on a country-by-country net sales basis. The royalties on other licensed products that do not include ciforadenant also increase with the amount of net sales on a product-by-product and country-by-country basis and range from the low-single digits up to the mid-single digits on a country-by-country net sales basis. The Company is also obligated to pay to Vernalis certain sales milestones as indicated above when worldwide net sales reach specified levels over an agreed upon time period.</w:t>
      </w:r>
    </w:p>
    <w:p>
      <w:pPr>
        <w:spacing w:after="0" w:line="192"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agreement will expire on a product-by-product and country-by-country basis upon the expiration of the Company’s payment obligations to Vernalis in respect of a particular product and country. Both parties have the right to terminate the agreement for an uncured material breach by the other party. The Company may also terminate the agreement at its convenience by providing 90 days written notice, provided that the Company has not received notice of its own default under the agreement at the time the Company exercises such termination right. Vernalis may also terminate the agreement if the Company challenges a licensed patent or undergoes a bankruptcy event.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Monash License Agreement</w:t>
      </w:r>
    </w:p>
    <w:p>
      <w:pPr>
        <w:spacing w:after="0" w:line="216"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In April 2017, the Company entered into a license agreement with Monash University (Monash), pursuant to which the Company was granted an exclusive, sublicensable worldwide license under certain know-how, patent rights and other intellectual property rights controlled by Monash to research, develop, and commercialize certain antibodies directed to CXCR2 for the treatment of human diseases.</w:t>
      </w:r>
    </w:p>
    <w:p>
      <w:pPr>
        <w:spacing w:after="0" w:line="180" w:lineRule="exact"/>
        <w:rPr>
          <w:sz w:val="20"/>
          <w:szCs w:val="20"/>
          <w:color w:val="auto"/>
        </w:rPr>
      </w:pPr>
    </w:p>
    <w:p>
      <w:pPr>
        <w:ind w:left="60" w:right="299" w:firstLine="648"/>
        <w:spacing w:after="0" w:line="275" w:lineRule="auto"/>
        <w:rPr>
          <w:sz w:val="20"/>
          <w:szCs w:val="20"/>
          <w:color w:val="auto"/>
        </w:rPr>
      </w:pPr>
      <w:r>
        <w:rPr>
          <w:rFonts w:ascii="Times New Roman" w:cs="Times New Roman" w:eastAsia="Times New Roman" w:hAnsi="Times New Roman"/>
          <w:sz w:val="17"/>
          <w:szCs w:val="17"/>
          <w:color w:val="auto"/>
        </w:rPr>
        <w:t>Upon execution of the agreement, the Company made a one time cash payment to Monash of $275,000 and reimbursed Monash for certain patent prosecution costs incurred prior to execution of the agreement. The Company recorded these payments as research and development expenses for the year ended December 31, 2017. The Company is also obligated to pay an annual license maintenance fee to Monash of $25,000 until a certain development milestone is</w:t>
      </w:r>
    </w:p>
    <w:p>
      <w:pPr>
        <w:sectPr>
          <w:pgSz w:w="11900" w:h="16838" w:orient="portrait"/>
          <w:cols w:equalWidth="0" w:num="1">
            <w:col w:w="9019"/>
          </w:cols>
          <w:pgMar w:left="1440" w:top="60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met with respect to the licensed product, after which no further maintenance fee will be due. The Company is also required to make development and sales milestone payments to Monash with respect to the licensed products. During the three months ended March 31, 2024 and 2023, no development or sales milestones were completed or paid to Monash and the aggregate potential milestones were $45.1 million as of March 31, 2024. The Company is also required to pay to Monash tiered royalties on net sales of licensed products sold by it, its affiliates and its sublicensees at a rate ranging in the low single digits. In addition, should the Company sublicense its rights under the agreement, the Company has agreed to pay a percentage of sublicense revenue received at specified rates that are currently at low double digit percentages and decrease to single digit percentages based on the achievement of development milestones.</w:t>
      </w:r>
    </w:p>
    <w:p>
      <w:pPr>
        <w:spacing w:after="0" w:line="192"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The term of the Company’s agreement with Monash continues until the expiration of its obligation to pay royalties to Monash thereunder. The license agreement is terminable at will by the Company upon providing 30 days written notice to Monash, or by either party for material breaches by the other party. In addition, Monash may terminate the entire agreement or convert the license to a non-exclusive license if the Company has materially breached its obligation to use commercially reasonable efforts to develop and commercialize a licensed product, subject to a specified notice and cure mechanism.</w:t>
      </w:r>
    </w:p>
    <w:p>
      <w:pPr>
        <w:spacing w:after="0" w:line="1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Balance Sheet Components (in thousands)</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5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4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2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4"/>
        </w:trPr>
        <w:tc>
          <w:tcPr>
            <w:tcW w:w="5540" w:type="dxa"/>
            <w:vAlign w:val="bottom"/>
            <w:tcBorders>
              <w:bottom w:val="single" w:sz="8" w:color="CCEEFF"/>
            </w:tcBorders>
          </w:tcPr>
          <w:p>
            <w:pPr>
              <w:spacing w:after="0"/>
              <w:rPr>
                <w:sz w:val="16"/>
                <w:szCs w:val="16"/>
                <w:color w:val="auto"/>
              </w:rPr>
            </w:pPr>
          </w:p>
        </w:tc>
        <w:tc>
          <w:tcPr>
            <w:tcW w:w="13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and Other Current Assets</w:t>
            </w: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research and development manufacturing expenses</w:t>
            </w: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Prepaid facility expenses</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3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tc>
        <w:tc>
          <w:tcPr>
            <w:tcW w:w="1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40" w:type="dxa"/>
            <w:vAlign w:val="bottom"/>
            <w:vMerge w:val="continue"/>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and purchased software</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540" w:type="dxa"/>
            <w:vAlign w:val="bottom"/>
            <w:tcBorders>
              <w:bottom w:val="single" w:sz="8" w:color="CCEEFF"/>
            </w:tcBorders>
          </w:tcPr>
          <w:p>
            <w:pPr>
              <w:spacing w:after="0"/>
              <w:rPr>
                <w:sz w:val="21"/>
                <w:szCs w:val="21"/>
                <w:color w:val="auto"/>
              </w:rPr>
            </w:pPr>
          </w:p>
        </w:tc>
        <w:tc>
          <w:tcPr>
            <w:tcW w:w="13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5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Accrued and Other Liabilities</w:t>
            </w: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Accrued clinical trial expense</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3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manufacturing expense</w:t>
            </w: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Personnel related</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legal and accounting</w:t>
            </w: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3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60" w:right="439"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and 2023, the Company recorded approximately $23,000 and $57,000 in depreciation expense, respectively.</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Common Stock</w:t>
      </w:r>
    </w:p>
    <w:p>
      <w:pPr>
        <w:spacing w:after="0" w:line="229" w:lineRule="exact"/>
        <w:rPr>
          <w:sz w:val="20"/>
          <w:szCs w:val="20"/>
          <w:color w:val="auto"/>
        </w:rPr>
      </w:pPr>
    </w:p>
    <w:p>
      <w:pPr>
        <w:ind w:left="60" w:right="459" w:firstLine="648"/>
        <w:spacing w:after="0" w:line="282" w:lineRule="auto"/>
        <w:rPr>
          <w:sz w:val="20"/>
          <w:szCs w:val="20"/>
          <w:color w:val="auto"/>
        </w:rPr>
      </w:pPr>
      <w:r>
        <w:rPr>
          <w:rFonts w:ascii="Times New Roman" w:cs="Times New Roman" w:eastAsia="Times New Roman" w:hAnsi="Times New Roman"/>
          <w:sz w:val="18"/>
          <w:szCs w:val="18"/>
          <w:color w:val="auto"/>
        </w:rPr>
        <w:t>As of March 31, 2024, the amended and restated certificate of incorporation authorizes the Company to issue 290 million shares of common stock and 10 million shares of preferred stock.</w:t>
      </w:r>
    </w:p>
    <w:p>
      <w:pPr>
        <w:spacing w:after="0" w:line="162" w:lineRule="exact"/>
        <w:rPr>
          <w:sz w:val="20"/>
          <w:szCs w:val="20"/>
          <w:color w:val="auto"/>
        </w:rPr>
      </w:pPr>
    </w:p>
    <w:p>
      <w:pPr>
        <w:ind w:left="60" w:right="259" w:firstLine="648"/>
        <w:spacing w:after="0" w:line="282" w:lineRule="auto"/>
        <w:rPr>
          <w:sz w:val="20"/>
          <w:szCs w:val="20"/>
          <w:color w:val="auto"/>
        </w:rPr>
      </w:pPr>
      <w:r>
        <w:rPr>
          <w:rFonts w:ascii="Times New Roman" w:cs="Times New Roman" w:eastAsia="Times New Roman" w:hAnsi="Times New Roman"/>
          <w:sz w:val="18"/>
          <w:szCs w:val="18"/>
          <w:color w:val="auto"/>
        </w:rPr>
        <w:t>Each share of common stock is entitled to one vote. Common stockholders are entitled to dividends if and when declared by the board of directors. As of March 31, 2024, no dividends on common stock had been declared.</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On March 28, 2023, the Company entered into an open market sale agreement (the “2023 Sales Agreement”) with Jefferies LLC (“Jefferies”) to sell shares of the Company’s common stock, from time-to-time, with aggregate gross sales proceeds of up to $90.0 million, through an at-the-market equity offering program under which Jefferies will act as its sales agent. The issuance and sale of shares of common stock by the Company pursuant to the 2023 Sales Agreement are deemed an “at-the-market” offering under the Securities Act of 1933, as amended. Jefferies is entitled to compensation for its services equal to 3.0% of the gross proceeds of any shares of common stock sold through Jefferies under the 2023 Sales Agreement.</w:t>
      </w:r>
    </w:p>
    <w:p>
      <w:pPr>
        <w:spacing w:after="0" w:line="175"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2024, the Company did not sell any shares of common stock under its at-the-market offering program. As of March 31, 2024, $81.9 million remained available for sale under the 2023 Sales Agreement. On May 1, 2024, the Company amended the 2023 Sales Agreement to decrease the aggregate gross sales proceeds from $90.0 million to $8.2 million, which decreased the amount available for sale under the 2023 Sales Agreement from $81.9 million to $100,000 (see Note 15. Subsequent Events).</w:t>
      </w:r>
    </w:p>
    <w:p>
      <w:pPr>
        <w:spacing w:after="0" w:line="17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has reserved shares of common stock for issuance as follows: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6720" w:type="dxa"/>
            <w:vAlign w:val="bottom"/>
          </w:tcPr>
          <w:p>
            <w:pPr>
              <w:spacing w:after="0"/>
              <w:rPr>
                <w:sz w:val="15"/>
                <w:szCs w:val="15"/>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4"/>
        </w:trPr>
        <w:tc>
          <w:tcPr>
            <w:tcW w:w="67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6"/>
                <w:szCs w:val="16"/>
                <w:color w:val="auto"/>
              </w:rPr>
            </w:pP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available for future option grants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5,207,693</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3,617,943</w:t>
            </w:r>
          </w:p>
        </w:tc>
        <w:tc>
          <w:tcPr>
            <w:tcW w:w="14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9,615,400</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9,244,150</w:t>
            </w:r>
          </w:p>
        </w:tc>
        <w:tc>
          <w:tcPr>
            <w:tcW w:w="14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reserved for employee stock purchase plan</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4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40" w:type="dxa"/>
            <w:vAlign w:val="bottom"/>
            <w:shd w:val="clear" w:color="auto" w:fill="CCEEFF"/>
          </w:tcPr>
          <w:p>
            <w:pPr>
              <w:spacing w:after="0"/>
              <w:rPr>
                <w:sz w:val="18"/>
                <w:szCs w:val="18"/>
                <w:color w:val="auto"/>
              </w:rPr>
            </w:pPr>
          </w:p>
        </w:tc>
      </w:tr>
      <w:tr>
        <w:trPr>
          <w:trHeight w:val="209"/>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15,223,093</w:t>
            </w:r>
          </w:p>
        </w:tc>
        <w:tc>
          <w:tcPr>
            <w:tcW w:w="14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13,262,093</w:t>
            </w:r>
          </w:p>
        </w:tc>
        <w:tc>
          <w:tcPr>
            <w:tcW w:w="140" w:type="dxa"/>
            <w:vAlign w:val="bottom"/>
          </w:tcPr>
          <w:p>
            <w:pPr>
              <w:spacing w:after="0"/>
              <w:rPr>
                <w:sz w:val="18"/>
                <w:szCs w:val="18"/>
                <w:color w:val="auto"/>
              </w:rPr>
            </w:pPr>
          </w:p>
        </w:tc>
      </w:tr>
      <w:tr>
        <w:trPr>
          <w:trHeight w:val="20"/>
        </w:trPr>
        <w:tc>
          <w:tcPr>
            <w:tcW w:w="6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Stock Option Plans</w:t>
      </w:r>
    </w:p>
    <w:p>
      <w:pPr>
        <w:spacing w:after="0" w:line="216" w:lineRule="exact"/>
        <w:rPr>
          <w:sz w:val="20"/>
          <w:szCs w:val="20"/>
          <w:color w:val="auto"/>
        </w:rPr>
      </w:pPr>
    </w:p>
    <w:p>
      <w:pPr>
        <w:ind w:left="60" w:right="199" w:firstLine="648"/>
        <w:spacing w:after="0" w:line="255" w:lineRule="auto"/>
        <w:rPr>
          <w:sz w:val="20"/>
          <w:szCs w:val="20"/>
          <w:color w:val="auto"/>
        </w:rPr>
      </w:pPr>
      <w:r>
        <w:rPr>
          <w:rFonts w:ascii="Times New Roman" w:cs="Times New Roman" w:eastAsia="Times New Roman" w:hAnsi="Times New Roman"/>
          <w:sz w:val="18"/>
          <w:szCs w:val="18"/>
          <w:color w:val="auto"/>
        </w:rPr>
        <w:t>In February 2014, the Company adopted the 2014 Equity Incentive Plan (the “2014 Plan”), which was subsequently amended in November 2014, July 2015 and September 2015, under which it granted incentive stock options (“ISOs”) or non-qualified stock options (“NSOs”). Terms of stock agreements, including vesting requirements, are determined by the board of directors or a committee authorized by the board of directors, subject to the provisions of the 2014 Plan. In general, awards granted by the Company vest over four years and have a maximum exercise term of 10 years. The 2014 Plan provides that grants must be at an exercise price of 100% of fair market value of the Company’s common stock as determined by the board of directors on the date of the grant.</w:t>
      </w:r>
    </w:p>
    <w:p>
      <w:pPr>
        <w:spacing w:after="0" w:line="175"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In connection with the consummation of the IPO in March 2016, the 2016 Equity Incentive Award Plan (the “2016 Plan”), became effective. Under the 2016 Plan, incentive stock options, non-statutory stock options, stock purchase rights and other stock-based awards may be granted. Terms of stock agreements, including vesting requirements, are determined by the board of directors or a committee authorized by the board of directors, subject to the provisions of the 2016 Plan. In general, awards granted by the Company vest over four years and have a maximum exercise term of 10 years. The 2016 Plan provides that grants must be at an exercise price of 100% of fair market value of the Company’s common stock as determined by the board of directors on the date of the grant. In conjunction with adopting the 2016 Plan, the 2014 Plan was terminated and no further awards will be granted under the 2014 Plan. Options outstanding under the 2014 Plan as of the effective date of the 2016 Plan that are forfeited or lapse unexercised may be re-issued under the 2016 Plan, up to a maximum of 1,136,229 shares.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Activity under the Company’s stock option plans is set forth below:</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6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tcBorders>
              <w:bottom w:val="single" w:sz="8" w:color="auto"/>
            </w:tcBorders>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Options Outstanding</w:t>
            </w:r>
          </w:p>
        </w:tc>
      </w:tr>
      <w:tr>
        <w:trPr>
          <w:trHeight w:val="163"/>
        </w:trPr>
        <w:tc>
          <w:tcPr>
            <w:tcW w:w="6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spacing w:after="0" w:line="161" w:lineRule="exact"/>
              <w:rPr>
                <w:sz w:val="20"/>
                <w:szCs w:val="20"/>
                <w:color w:val="auto"/>
              </w:rPr>
            </w:pPr>
            <w:r>
              <w:rPr>
                <w:rFonts w:ascii="Times New Roman" w:cs="Times New Roman" w:eastAsia="Times New Roman" w:hAnsi="Times New Roman"/>
                <w:sz w:val="14"/>
                <w:szCs w:val="14"/>
                <w:b w:val="1"/>
                <w:bCs w:val="1"/>
                <w:color w:val="auto"/>
              </w:rPr>
              <w:t xml:space="preserve">Weighted </w:t>
            </w:r>
            <w:r>
              <w:rPr>
                <w:rFonts w:ascii="MS PGothic" w:cs="MS PGothic" w:eastAsia="MS PGothic" w:hAnsi="MS PGothic"/>
                <w:sz w:val="14"/>
                <w:szCs w:val="14"/>
                <w:b w:val="1"/>
                <w:bCs w:val="1"/>
                <w:color w:val="auto"/>
              </w:rPr>
              <w:t>‑</w:t>
            </w:r>
          </w:p>
        </w:tc>
      </w:tr>
      <w:tr>
        <w:trPr>
          <w:trHeight w:val="175"/>
        </w:trPr>
        <w:tc>
          <w:tcPr>
            <w:tcW w:w="6100" w:type="dxa"/>
            <w:vAlign w:val="bottom"/>
          </w:tcPr>
          <w:p>
            <w:pPr>
              <w:spacing w:after="0"/>
              <w:rPr>
                <w:sz w:val="15"/>
                <w:szCs w:val="15"/>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76"/>
        </w:trPr>
        <w:tc>
          <w:tcPr>
            <w:tcW w:w="6100" w:type="dxa"/>
            <w:vAlign w:val="bottom"/>
          </w:tcPr>
          <w:p>
            <w:pPr>
              <w:spacing w:after="0"/>
              <w:rPr>
                <w:sz w:val="15"/>
                <w:szCs w:val="15"/>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Available</w:t>
            </w: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Exercise</w:t>
            </w:r>
          </w:p>
        </w:tc>
      </w:tr>
      <w:tr>
        <w:trPr>
          <w:trHeight w:val="194"/>
        </w:trPr>
        <w:tc>
          <w:tcPr>
            <w:tcW w:w="6100" w:type="dxa"/>
            <w:vAlign w:val="bottom"/>
          </w:tcPr>
          <w:p>
            <w:pPr>
              <w:spacing w:after="0"/>
              <w:rPr>
                <w:sz w:val="16"/>
                <w:szCs w:val="16"/>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for Grant</w:t>
            </w:r>
          </w:p>
        </w:tc>
        <w:tc>
          <w:tcPr>
            <w:tcW w:w="86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Price</w:t>
            </w:r>
          </w:p>
        </w:tc>
      </w:tr>
      <w:tr>
        <w:trPr>
          <w:trHeight w:val="216"/>
        </w:trPr>
        <w:tc>
          <w:tcPr>
            <w:tcW w:w="6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3,617,943</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9,244,150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16"/>
        </w:trPr>
        <w:tc>
          <w:tcPr>
            <w:tcW w:w="6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shares authorized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1,961,000</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Options granted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16"/>
        </w:trPr>
        <w:tc>
          <w:tcPr>
            <w:tcW w:w="6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Options exercised</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Options forfeited</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28,750</w:t>
            </w:r>
          </w:p>
        </w:tc>
        <w:tc>
          <w:tcPr>
            <w:tcW w:w="14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09"/>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2024</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5,207,693</w:t>
            </w:r>
          </w:p>
        </w:tc>
        <w:tc>
          <w:tcPr>
            <w:tcW w:w="14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9,615,400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0"/>
        </w:trPr>
        <w:tc>
          <w:tcPr>
            <w:tcW w:w="6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216" w:lineRule="exact"/>
        <w:rPr>
          <w:sz w:val="20"/>
          <w:szCs w:val="20"/>
          <w:color w:val="auto"/>
        </w:rPr>
      </w:pPr>
    </w:p>
    <w:p>
      <w:pPr>
        <w:ind w:left="60" w:right="599" w:firstLine="648"/>
        <w:spacing w:after="0" w:line="282" w:lineRule="auto"/>
        <w:rPr>
          <w:sz w:val="20"/>
          <w:szCs w:val="20"/>
          <w:color w:val="auto"/>
        </w:rPr>
      </w:pPr>
      <w:r>
        <w:rPr>
          <w:rFonts w:ascii="Times New Roman" w:cs="Times New Roman" w:eastAsia="Times New Roman" w:hAnsi="Times New Roman"/>
          <w:sz w:val="18"/>
          <w:szCs w:val="18"/>
          <w:color w:val="auto"/>
        </w:rPr>
        <w:t>The Company’s results of operations include expenses relating to employee and non-employee stock-based awards as follows (in thousands):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6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5"/>
        </w:trPr>
        <w:tc>
          <w:tcPr>
            <w:tcW w:w="68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74"/>
        </w:trPr>
        <w:tc>
          <w:tcPr>
            <w:tcW w:w="68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5"/>
                <w:szCs w:val="15"/>
                <w:color w:val="auto"/>
              </w:rPr>
            </w:pPr>
          </w:p>
        </w:tc>
      </w:tr>
      <w:tr>
        <w:trPr>
          <w:trHeight w:val="209"/>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40" w:type="dxa"/>
            <w:vAlign w:val="bottom"/>
            <w:shd w:val="clear" w:color="auto" w:fill="CCEEFF"/>
          </w:tcPr>
          <w:p>
            <w:pPr>
              <w:spacing w:after="0"/>
              <w:rPr>
                <w:sz w:val="18"/>
                <w:szCs w:val="18"/>
                <w:color w:val="auto"/>
              </w:rPr>
            </w:pPr>
          </w:p>
        </w:tc>
      </w:tr>
      <w:tr>
        <w:trPr>
          <w:trHeight w:val="216"/>
        </w:trPr>
        <w:tc>
          <w:tcPr>
            <w:tcW w:w="6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tcBorders>
              <w:bottom w:val="single" w:sz="8" w:color="CCEEFF"/>
            </w:tcBorders>
          </w:tcPr>
          <w:p>
            <w:pPr>
              <w:spacing w:after="0"/>
              <w:rPr>
                <w:sz w:val="18"/>
                <w:szCs w:val="18"/>
                <w:color w:val="auto"/>
              </w:rPr>
            </w:pPr>
          </w:p>
        </w:tc>
      </w:tr>
      <w:tr>
        <w:trPr>
          <w:trHeight w:val="210"/>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20"/>
        </w:trPr>
        <w:tc>
          <w:tcPr>
            <w:tcW w:w="6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29"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and 2023, the Company recorded no income tax benefits for the net operating losses (NOLs) incurred due to the uncertainty of realizing a benefit from those items. The Company continues to maintain a full valuation allowance against its net deferred tax assets.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Facility Lease</w:t>
      </w:r>
    </w:p>
    <w:p>
      <w:pPr>
        <w:spacing w:after="0" w:line="229"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In January 2015, the Company signed an initial operating lease, effective February 1, 2015 for 8,138 square feet of office and laboratory space with a one year term. Between January 2015 and September 2021, the Company entered into a series of lease amendments to increase the amount of leased space to 27,280 square feet and extend the expiration of the lease to January 2025. The lease agreement includes annual rent escalations. Under the lease and subsequent amendments, the landlord provided approximately $1.9 million in free rent and lease incentives. The Company records rent expense on a straight-line basis over the effective term of the lease, including any free rent periods and incentives. As the interest rate implicit in lease arrangements is typically not readily available, in calculating the present value of the lease payments, the Company has utilized its incremental borrowing rate, which was determined based on the prevailing market rates for collateralized debt with maturity dates commensurate with the term of its lease. The Company’s facility lease is a net lease, as the non-lease components (i.e. common area maintenance) are paid separately from rent based on actual costs incurred. Therefore, the non-lease components were not included in the right-of-use asset and liability and are reflected as an expense in the period incurred.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As of March 31, 2024 and December 31, 2023, the right-of-use asset under operating lease was $0.9 million and $1.1 million, respectively. The elements of lease expense for the three months ended March 31, 2024 and 2023 were as follows (in thousands):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388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4"/>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4"/>
        </w:trPr>
        <w:tc>
          <w:tcPr>
            <w:tcW w:w="3880" w:type="dxa"/>
            <w:vAlign w:val="bottom"/>
          </w:tcPr>
          <w:p>
            <w:pPr>
              <w:spacing w:after="0"/>
              <w:rPr>
                <w:sz w:val="16"/>
                <w:szCs w:val="16"/>
                <w:color w:val="auto"/>
              </w:rPr>
            </w:pPr>
          </w:p>
        </w:tc>
        <w:tc>
          <w:tcPr>
            <w:tcW w:w="32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Statements of operations and</w:t>
            </w: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5"/>
        </w:trPr>
        <w:tc>
          <w:tcPr>
            <w:tcW w:w="3880" w:type="dxa"/>
            <w:vAlign w:val="bottom"/>
            <w:tcBorders>
              <w:bottom w:val="single" w:sz="8" w:color="CCEEFF"/>
            </w:tcBorders>
          </w:tcPr>
          <w:p>
            <w:pPr>
              <w:spacing w:after="0"/>
              <w:rPr>
                <w:sz w:val="15"/>
                <w:szCs w:val="15"/>
                <w:color w:val="auto"/>
              </w:rPr>
            </w:pPr>
          </w:p>
        </w:tc>
        <w:tc>
          <w:tcPr>
            <w:tcW w:w="32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comprehensive loss location</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of operating lease</w:t>
            </w:r>
          </w:p>
        </w:tc>
        <w:tc>
          <w:tcPr>
            <w:tcW w:w="3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198"/>
        </w:trPr>
        <w:tc>
          <w:tcPr>
            <w:tcW w:w="3880" w:type="dxa"/>
            <w:vAlign w:val="bottom"/>
          </w:tcPr>
          <w:p>
            <w:pPr>
              <w:spacing w:after="0"/>
              <w:rPr>
                <w:sz w:val="17"/>
                <w:szCs w:val="17"/>
                <w:color w:val="auto"/>
              </w:rPr>
            </w:pPr>
          </w:p>
        </w:tc>
        <w:tc>
          <w:tcPr>
            <w:tcW w:w="322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4"/>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3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198"/>
        </w:trPr>
        <w:tc>
          <w:tcPr>
            <w:tcW w:w="38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Costs of non-lease components (previously common</w:t>
            </w:r>
          </w:p>
        </w:tc>
        <w:tc>
          <w:tcPr>
            <w:tcW w:w="322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34"/>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area maintenance)</w:t>
            </w:r>
          </w:p>
        </w:tc>
        <w:tc>
          <w:tcPr>
            <w:tcW w:w="3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50"/>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lease cost</w:t>
            </w:r>
          </w:p>
        </w:tc>
        <w:tc>
          <w:tcPr>
            <w:tcW w:w="3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197"/>
        </w:trPr>
        <w:tc>
          <w:tcPr>
            <w:tcW w:w="38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Other Information</w:t>
            </w:r>
          </w:p>
        </w:tc>
        <w:tc>
          <w:tcPr>
            <w:tcW w:w="3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cash flows used for operating lease</w:t>
            </w:r>
          </w:p>
        </w:tc>
        <w:tc>
          <w:tcPr>
            <w:tcW w:w="3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r>
      <w:tr>
        <w:trPr>
          <w:trHeight w:val="216"/>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lease term</w:t>
            </w:r>
          </w:p>
        </w:tc>
        <w:tc>
          <w:tcPr>
            <w:tcW w:w="3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0.8 years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years</w:t>
            </w:r>
          </w:p>
        </w:tc>
      </w:tr>
      <w:tr>
        <w:trPr>
          <w:trHeight w:val="234"/>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3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bl>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March 31, 2024, minimum rental commitments under this lease were as follows (in thousands):</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7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(in thousands)</w:t>
            </w: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15"/>
        </w:trPr>
        <w:tc>
          <w:tcPr>
            <w:tcW w:w="2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4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auto"/>
            </w:tcBorders>
            <w:shd w:val="clear" w:color="auto" w:fill="CCEEFF"/>
          </w:tcPr>
          <w:p>
            <w:pPr>
              <w:spacing w:after="0"/>
              <w:rPr>
                <w:sz w:val="18"/>
                <w:szCs w:val="18"/>
                <w:color w:val="auto"/>
              </w:rPr>
            </w:pPr>
          </w:p>
        </w:tc>
        <w:tc>
          <w:tcPr>
            <w:tcW w:w="6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r>
      <w:tr>
        <w:trPr>
          <w:trHeight w:val="210"/>
        </w:trPr>
        <w:tc>
          <w:tcPr>
            <w:tcW w:w="7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r>
      <w:tr>
        <w:trPr>
          <w:trHeight w:val="216"/>
        </w:trPr>
        <w:tc>
          <w:tcPr>
            <w:tcW w:w="7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0"/>
        </w:trPr>
        <w:tc>
          <w:tcPr>
            <w:tcW w:w="7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w:t>
            </w:r>
          </w:p>
        </w:tc>
      </w:tr>
      <w:tr>
        <w:trPr>
          <w:trHeight w:val="20"/>
        </w:trPr>
        <w:tc>
          <w:tcPr>
            <w:tcW w:w="22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35"/>
        </w:trPr>
        <w:tc>
          <w:tcPr>
            <w:tcW w:w="2240" w:type="dxa"/>
            <w:vAlign w:val="bottom"/>
            <w:tcBorders>
              <w:bottom w:val="single" w:sz="8" w:color="auto"/>
            </w:tcBorders>
          </w:tcPr>
          <w:p>
            <w:pPr>
              <w:spacing w:after="0"/>
              <w:rPr>
                <w:sz w:val="3"/>
                <w:szCs w:val="3"/>
                <w:color w:val="auto"/>
              </w:rPr>
            </w:pPr>
          </w:p>
        </w:tc>
        <w:tc>
          <w:tcPr>
            <w:tcW w:w="5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r>
    </w:tbl>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Remainder of the year</w:t>
      </w: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As of December 31, 2023, minimum rental commitments under this lease were as follows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(in thousands)</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4"/>
        </w:trPr>
        <w:tc>
          <w:tcPr>
            <w:tcW w:w="7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r>
      <w:tr>
        <w:trPr>
          <w:trHeight w:val="210"/>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w:t>
            </w:r>
          </w:p>
        </w:tc>
      </w:tr>
      <w:tr>
        <w:trPr>
          <w:trHeight w:val="216"/>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0"/>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w:t>
            </w:r>
          </w:p>
        </w:tc>
      </w:tr>
      <w:tr>
        <w:trPr>
          <w:trHeight w:val="20"/>
        </w:trPr>
        <w:tc>
          <w:tcPr>
            <w:tcW w:w="7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229"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In August 2015, the Company entered into an agreement for a line of credit of $0.1 million for the purpose of issuing its landlord a letter of credit of $0.1 million as a security deposit under its facility lease. The Company pledged money market funds and marketable securities as collateral for the line of credit. For further discussion of the Company’s facility lease agreement, see Note 12.</w:t>
      </w:r>
    </w:p>
    <w:p>
      <w:pPr>
        <w:spacing w:after="0" w:line="166"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Pursuant to the Company’s license agreements with each of Vernalis, Scripps and Monash, it has obligations to make future milestone and royalty payments to these parties, respectively. However, because these amounts are contingent, they have not been included on the Company’s balance sheet. For further discussion of the Vernalis, Scripps and Monash licensing agreements, see Note 6.</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216" w:lineRule="exact"/>
        <w:rPr>
          <w:sz w:val="20"/>
          <w:szCs w:val="20"/>
          <w:color w:val="auto"/>
        </w:rPr>
      </w:pPr>
    </w:p>
    <w:p>
      <w:pPr>
        <w:ind w:left="60" w:right="419" w:firstLine="648"/>
        <w:spacing w:after="0" w:line="312" w:lineRule="auto"/>
        <w:rPr>
          <w:sz w:val="20"/>
          <w:szCs w:val="20"/>
          <w:color w:val="auto"/>
        </w:rPr>
      </w:pPr>
      <w:r>
        <w:rPr>
          <w:rFonts w:ascii="Times New Roman" w:cs="Times New Roman" w:eastAsia="Times New Roman" w:hAnsi="Times New Roman"/>
          <w:sz w:val="17"/>
          <w:szCs w:val="17"/>
          <w:color w:val="auto"/>
        </w:rPr>
        <w:t>In the ordinary course of business, the Company enters into agreements that may include indemnification provisions. Pursuant to such agreements, the Company may indemnify, hold harmless and defend an indemnified party</w:t>
      </w:r>
    </w:p>
    <w:p>
      <w:pPr>
        <w:sectPr>
          <w:pgSz w:w="11900" w:h="16838" w:orient="portrait"/>
          <w:cols w:equalWidth="0" w:num="1">
            <w:col w:w="9019"/>
          </w:cols>
          <w:pgMar w:left="1440" w:top="607"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for losses suffered or incurred by the indemnified party. Some of the provisions will limit losses to those arising from third-party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The Company has also entered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There have been no claims to date and the Company has a directors and officers insurance policy that may enable it to recover a portion of any amounts paid for future claims.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is not a party to any material legal proceedings.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Related Party Transactions</w:t>
      </w:r>
    </w:p>
    <w:p>
      <w:pPr>
        <w:spacing w:after="0" w:line="270" w:lineRule="exact"/>
        <w:rPr>
          <w:sz w:val="20"/>
          <w:szCs w:val="20"/>
          <w:color w:val="auto"/>
        </w:rPr>
      </w:pPr>
    </w:p>
    <w:p>
      <w:pPr>
        <w:ind w:left="60" w:right="159" w:firstLine="648"/>
        <w:spacing w:after="0" w:line="252" w:lineRule="auto"/>
        <w:rPr>
          <w:sz w:val="20"/>
          <w:szCs w:val="20"/>
          <w:color w:val="auto"/>
        </w:rPr>
      </w:pPr>
      <w:r>
        <w:rPr>
          <w:rFonts w:ascii="Times New Roman" w:cs="Times New Roman" w:eastAsia="Times New Roman" w:hAnsi="Times New Roman"/>
          <w:sz w:val="18"/>
          <w:szCs w:val="18"/>
          <w:color w:val="auto"/>
        </w:rPr>
        <w:t>The Company holds a 49.7% ownership in Angel Pharmaceuticals Co. Ltd., a corporate venture in the People’s Republic of China, and, in connection with intellectual property licensing agreements between the Company and Angel Pharmaceuticals, the Company provides operational support and clinical drug supplies to Angel Pharmaceuticals. Third-party and internal personnel costs incurred by the Company are billed to Angel Pharmaceuticals in the period incurred and recorded as an offset to expenses. During the three months ended March 31, 2023, the Company billed Angel for approximately $48,000 in third-party party costs and there were transactions during the three months ended March 31, 2024. As of March 31, 2024 and December 31, 2023, the Company had a approximately $26,000 in accounts receivable – related party due from Angel Pharmaceuticals.</w:t>
      </w:r>
    </w:p>
    <w:p>
      <w:pPr>
        <w:spacing w:after="0" w:line="178" w:lineRule="exact"/>
        <w:rPr>
          <w:sz w:val="20"/>
          <w:szCs w:val="20"/>
          <w:color w:val="auto"/>
        </w:rPr>
      </w:pPr>
    </w:p>
    <w:p>
      <w:pPr>
        <w:ind w:left="60" w:right="299" w:firstLine="648"/>
        <w:spacing w:after="0" w:line="258" w:lineRule="auto"/>
        <w:rPr>
          <w:sz w:val="20"/>
          <w:szCs w:val="20"/>
          <w:color w:val="auto"/>
        </w:rPr>
      </w:pPr>
      <w:r>
        <w:rPr>
          <w:rFonts w:ascii="Times New Roman" w:cs="Times New Roman" w:eastAsia="Times New Roman" w:hAnsi="Times New Roman"/>
          <w:sz w:val="18"/>
          <w:szCs w:val="18"/>
          <w:color w:val="auto"/>
        </w:rPr>
        <w:t>In addition to the provision of clinical supplies to Angel Pharmaceuticals, Angel Pharmaceuticals may provide clinical supplies or research services to the Company on an as needed basis. These costs are recorded as research and development expense. During the three months ended March 31, 2023, Angel Pharmaceuticals billed the Company for approximately $0.1 million in research services and there were no transactions during the three months ended March 31, 2024.</w:t>
      </w:r>
    </w:p>
    <w:p>
      <w:pPr>
        <w:spacing w:after="0" w:line="170"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In August 2021, the Company entered into an agreement to sublease 7,585 square feet of its office and laboratory space in Burlingame, California to Angel Pharmaceuticals. Pursuant to the sublease, rent was due monthly and was subject to scheduled annual increases and Angel Pharmaceuticals was responsible for certain operating expenses and taxes throughout the life of the sublease. The sublease expired in January 2023. Sublease income was recognized on a straight-line basis as other income in our condensed consolidated statements of operations. During the three months ended March 31, 2023, the Company recognized approximately $0.1 million of sublease income.</w:t>
      </w:r>
    </w:p>
    <w:p>
      <w:pPr>
        <w:spacing w:after="0" w:line="174"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In July 2021, Linda S. Grais, M.D., J.D., a member of the Company’s Board of Directors, was appointed as a non-executive member of the Board of Directors of ICON plc (“ICON”), effective upon completion of ICON’s acquisition of PRA Health Sciences, Inc. ICON is a clinical research organization and provides services to support the Company’s clinical trials. During the three months ended March 31, 2024 and 2023, the Company recorded approximately $27,000 and $118,000, respectively, in clinical trial expenses under its agreements with ICON.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229" w:lineRule="exact"/>
        <w:rPr>
          <w:sz w:val="20"/>
          <w:szCs w:val="20"/>
          <w:color w:val="auto"/>
        </w:rPr>
      </w:pPr>
    </w:p>
    <w:p>
      <w:pPr>
        <w:ind w:left="60" w:right="79" w:firstLine="648"/>
        <w:spacing w:after="0" w:line="269" w:lineRule="auto"/>
        <w:rPr>
          <w:sz w:val="20"/>
          <w:szCs w:val="20"/>
          <w:color w:val="auto"/>
        </w:rPr>
      </w:pPr>
      <w:r>
        <w:rPr>
          <w:rFonts w:ascii="Times New Roman" w:cs="Times New Roman" w:eastAsia="Times New Roman" w:hAnsi="Times New Roman"/>
          <w:sz w:val="17"/>
          <w:szCs w:val="17"/>
          <w:color w:val="auto"/>
        </w:rPr>
        <w:t>On May 6, 2024, the Company closed a registered direct offering which resulted in gross proceeds of approximately $30.6 million. The financing consisted of the sale of 13,512,699 shares of common stock and accompanying common stock warrants to purchase 13,078,509 shares of common stock (or pre-funded warrants in lieu thereof) at a combined offering price of $1.7312 per share, and the sale of pre-funded warrants to purchase 4,144,085 shares of common stock and accompanying common warrants to purchase 4,010,927 shares of common stock (or pre-funded warrants in lieu thereof) at a combined offering price of $1.7311 per share. The common warrants have an exercise price of $3.50 per share of common stock (or $3.4999 per pre-funded warrant in lieu thereof), are exercisable at any time after the date of issuance, subject to certain ownership limitations, and expire on June 30, 2025. The pre-funded warrants have an exercise price of $0.0001 and are exercisable anytime after the date of the issuance, subject to certain ownership limitations.</w:t>
      </w:r>
    </w:p>
    <w:p>
      <w:pPr>
        <w:spacing w:after="0" w:line="175" w:lineRule="exact"/>
        <w:rPr>
          <w:sz w:val="20"/>
          <w:szCs w:val="20"/>
          <w:color w:val="auto"/>
        </w:rPr>
      </w:pPr>
    </w:p>
    <w:p>
      <w:pPr>
        <w:ind w:left="60" w:right="199" w:firstLine="648"/>
        <w:spacing w:after="0" w:line="254" w:lineRule="auto"/>
        <w:rPr>
          <w:sz w:val="20"/>
          <w:szCs w:val="20"/>
          <w:color w:val="auto"/>
        </w:rPr>
      </w:pPr>
      <w:r>
        <w:rPr>
          <w:rFonts w:ascii="Times New Roman" w:cs="Times New Roman" w:eastAsia="Times New Roman" w:hAnsi="Times New Roman"/>
          <w:sz w:val="18"/>
          <w:szCs w:val="18"/>
          <w:color w:val="auto"/>
        </w:rPr>
        <w:t>As part of the registered direct offering, an institutional investor and 10% shareholder affiliated with one of the Company’s directors, the Company’s chief executive officer, an executive officer of the Company and an investment fund controlled by the founder and current board member of Angel Pharmaceuticals purchased a total of 1,464,085 shares of common stock, 1,444,085 pre-funded warrants and 2,814,725 common stock warrants for a total aggregate purchase price of approximately $5.0 million.</w:t>
      </w:r>
    </w:p>
    <w:p>
      <w:pPr>
        <w:spacing w:after="0" w:line="1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Amendment to 2023 Sales Agreement</w:t>
      </w:r>
    </w:p>
    <w:p>
      <w:pPr>
        <w:spacing w:after="0" w:line="229" w:lineRule="exact"/>
        <w:rPr>
          <w:sz w:val="20"/>
          <w:szCs w:val="20"/>
          <w:color w:val="auto"/>
        </w:rPr>
      </w:pPr>
    </w:p>
    <w:p>
      <w:pPr>
        <w:jc w:val="both"/>
        <w:ind w:left="60" w:right="159" w:firstLine="648"/>
        <w:spacing w:after="0" w:line="263" w:lineRule="auto"/>
        <w:rPr>
          <w:sz w:val="20"/>
          <w:szCs w:val="20"/>
          <w:color w:val="auto"/>
        </w:rPr>
      </w:pPr>
      <w:r>
        <w:rPr>
          <w:rFonts w:ascii="Times New Roman" w:cs="Times New Roman" w:eastAsia="Times New Roman" w:hAnsi="Times New Roman"/>
          <w:sz w:val="18"/>
          <w:szCs w:val="18"/>
          <w:color w:val="auto"/>
        </w:rPr>
        <w:t>On May 1, 2024, the Company and Jefferies entered into an amendment to the 2023 Sales Agreement pursuant to which the aggregate gross sales proceeds were decreased from $90.0 million to $8.2 million, which decreased the amount available for sale under the 2023 Sales Agreement from $81.9 million to $100,000.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unaudited condensed consolidated financial statements and related notes thereto included in Part I, Item 1 of this Quarterly Report on Form 10-Q and with our audited condensed consolidated financial statements and notes for the year ended December 31, 2023, included in our Annual Report on Form 10-K filed with the U.S. Securities and Exchange Commission (“SEC”) on March 19, 2024.</w:t>
      </w:r>
    </w:p>
    <w:p>
      <w:pPr>
        <w:spacing w:after="0" w:line="170" w:lineRule="exact"/>
        <w:rPr>
          <w:sz w:val="20"/>
          <w:szCs w:val="20"/>
          <w:color w:val="auto"/>
        </w:rPr>
      </w:pPr>
    </w:p>
    <w:p>
      <w:pPr>
        <w:ind w:left="60" w:right="29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This discussion and other parts of this report contain forward-looking statements that involve risks and uncertainties, such as statements of our plans, objectives, expectations and intentions. Our actual results could differ materially from those discussed in these forward-looking statements. Factors that could cause or contribute to such differences include, but are not limited to, those discussed in the section of this report entitled “Risk Factors.” Except as may be required by law, we assume no obligation to update these forward-looking statements or the reasons that results could differ from these forward-looking statements.</w:t>
      </w:r>
    </w:p>
    <w:p>
      <w:pPr>
        <w:spacing w:after="0" w:line="1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319" w:firstLine="648"/>
        <w:spacing w:after="0" w:line="261" w:lineRule="auto"/>
        <w:rPr>
          <w:sz w:val="20"/>
          <w:szCs w:val="20"/>
          <w:color w:val="auto"/>
        </w:rPr>
      </w:pPr>
      <w:r>
        <w:rPr>
          <w:rFonts w:ascii="Times New Roman" w:cs="Times New Roman" w:eastAsia="Times New Roman" w:hAnsi="Times New Roman"/>
          <w:sz w:val="18"/>
          <w:szCs w:val="18"/>
          <w:color w:val="auto"/>
        </w:rPr>
        <w:t>We are a clinical stage biopharmaceutical company. Our strategy is to focus our efforts on the development of immune modulator product candidates with the potential to treat solid cancers, T cell lymphomas, autoimmune, allergic and infectious diseases. We have three product candidates which are in clinical development for the treatment of various solid tumors, lymphomas and autoimmune diseases.</w:t>
      </w:r>
    </w:p>
    <w:p>
      <w:pPr>
        <w:spacing w:after="0" w:line="9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Our lead product candidate is soquelitinib (formerly CPI-818), a selective, covalent inhibitor of ITK (interleukin 2 inducible T cell kinase), and it is in a multi-center Phase 1/1b clinical trial in patients with various recurrent, malignant T cell lymphomas. Soquelitinib is designed to inhibit the proliferation of certain malignant T cells and also to affect the differentiation of normal T cells, which could enhance immunity to tumor cells. We believe these properties have the potential to regulate the growth and activity of both abnormal malignant T cells and abnormal T cells involved in autoimmunity and allergy.</w:t>
      </w:r>
    </w:p>
    <w:p>
      <w:pPr>
        <w:spacing w:after="0" w:line="122"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Soquelitinib is an investigational selective, orally bioavailable, covalent inhibitor of ITK. ITK, an enzyme that functions in T cell signaling and differentiation, is expressed predominantly in T cells, which are lymphocytes that play a vital role in immune responses. T cell lymphomas are malignancies of T cells that proliferate and spread throughout the body. These lymphomas often have tonic signaling through the T cell receptor pathway, which involves ITK. Inhibition of ITK could result in blockade of this signaling pathway and control the growth of the malignancy. In addition, one of the key survival mechanisms of both lymphomas and solid tumors is believed to be the reprogramming of normal T cells to create an environment in the tissues that inhibits an anti-tumor immune response and favors tumor growth. We believe highly selective inhibitors of this enzyme will facilitate induction of normal T cell anti- tumor immunity and may be useful in the treatment of solid tumors as well as lymphomas.</w:t>
      </w:r>
    </w:p>
    <w:p>
      <w:pPr>
        <w:spacing w:after="0" w:line="109"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Selective inhibition of ITK can block the production and function of Th2 and Th17 cells, potentially leading to a biasing toward the differentiation of naïve T cells into Th1 cells, a process known as Th1 skewing. Th1 cells lead to the generation of killer T cells that can eliminate tumor cells or viral infected cells. Th1 cells produce interferon gamma and tumor necrosis factor that are cytokines known to destroy cancer cells. We believe that soquelitinib can lead to reprogramming of normal immune responses that also could be beneficial for the treatment of certain autoimmune and allergic diseases. Overactive Th2 and Th17 cells play a role in autoimmune and allergic diseases, which can potentially be ameliorated by selective ITK inhibition by blocking Th2 and Th17 function and their production of inflammatory cytokines such as IL4, IL5, IL13, IL17 and others.</w:t>
      </w:r>
    </w:p>
    <w:p>
      <w:pPr>
        <w:spacing w:after="0" w:line="124"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T cell signaling involving ITK is required in the development of many T cell lymphomas. The ITK cell signaling pathway is similar to the signaling that occurs in B cells, which is mediated by a homologous enzyme known as BTK, the target of ibrutinib, an approved treatment for patients with B cell lymphomas and leukemias. ITK is expressed in many T cell lymphomas, including peripheral T cell lymphoma (“PTCL”), angioimmunoblastic T cell lymphoma (“AITL”), cutaneous T cell lymphomas (“CTCL”), anaplastic large cell lymphomas (“ALCL”), natural killer T cell lymphomas (“NKTCL”) and other T cell malignancies.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In ITK genetic knockout mice, which completely lack expression of ITK, T cells exhibit defects in T helper cell differentiation and cytokine secretion but retain the ability to differentiate into cytotoxic T cells that secrete IL-2 and interferon gamma (“IFNg”), which are the cells responsible for tumor rejection. We believe that skewing T helper cell differentiation to favor cytotoxic T cells, known as Th1 skewing, may be beneficial in treating T cell lymphomas and many other types of cancer. Mice with genetic knock-out of ITK also demonstrate a reduction in Th2 cells, which produce the cytokines that are often responsible for autoimmunity and allergy.</w:t>
      </w:r>
    </w:p>
    <w:p>
      <w:pPr>
        <w:spacing w:after="0" w:line="106" w:lineRule="exact"/>
        <w:rPr>
          <w:sz w:val="20"/>
          <w:szCs w:val="20"/>
          <w:color w:val="auto"/>
        </w:rPr>
      </w:pPr>
    </w:p>
    <w:p>
      <w:pPr>
        <w:ind w:left="60" w:right="99" w:firstLine="648"/>
        <w:spacing w:after="0" w:line="268" w:lineRule="auto"/>
        <w:rPr>
          <w:sz w:val="20"/>
          <w:szCs w:val="20"/>
          <w:color w:val="auto"/>
        </w:rPr>
      </w:pPr>
      <w:r>
        <w:rPr>
          <w:rFonts w:ascii="Times New Roman" w:cs="Times New Roman" w:eastAsia="Times New Roman" w:hAnsi="Times New Roman"/>
          <w:sz w:val="17"/>
          <w:szCs w:val="17"/>
          <w:color w:val="auto"/>
        </w:rPr>
        <w:t>We developed soquelitinib by covalently targeting the cysteine amino acid residue at position 442 in the ITK protein. We believe this irreversible targeting of ITK has the potential to provide a potent, selective and prolonged duration of activity without the need for high systemic exposures and thereby may improve the therapeutic window. This approach was previously used by our cofounders to generate ibrutinib. We believe that the potential selectivity of soquelitinib could mimic the immune effects seen in ITK knockout mice and skew the immune response toward a more favorable anti-tumor immune response as well as reducing the activity of Th2 and Th17 cells. The blockade of Th2 and Th17 differentiation has the potential to suppress inflammatory reactions involved in various autoimmune and allergic diseases. Soquelitinib was designed to have the necessary selectivity to specifically block ITK function without altering other closely related enzymes involved in T cell differentiation. We believe such selectivity is required for achieving Th1 skewing and Th2/Th17 blockade, as established by ITK genetic knockout studies in mice. ITK also plays a role in the proliferation of some T cell lymphomas and we believe its inhibition could lead to growth arrest and/or tumor cell cytotoxicity. In our preclinical studies of soquelitinib, objective tumor responses were observed in dogs with spontaneous T cell lymphomas.</w:t>
      </w:r>
    </w:p>
    <w:p>
      <w:pPr>
        <w:spacing w:after="0" w:line="94" w:lineRule="exact"/>
        <w:rPr>
          <w:sz w:val="20"/>
          <w:szCs w:val="20"/>
          <w:color w:val="auto"/>
        </w:rPr>
      </w:pPr>
    </w:p>
    <w:p>
      <w:pPr>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Soquelitinib is currently being studied in a Phase 1/1b clinical trial that was designed to select the optimal dose of soquelitinib and evaluate its safety, pharmacokinetics (“PK”), target occupancy, immunologic effects, biomarkers and efficacy in patients with various T cell lymphomas. The study employs an adaptive, expansion cohort design, with an initial phase that evaluated escalating doses (100, 200, 400 or 600 mg taken twice a day) in successive cohorts of patients, followed by a second phase that is designed to evaluate safety and tumor response to the recommended dose of soquelitinib in disease-specific patient cohorts. The study has enrolled patients from the United States, Australia, China and South Korea with several types of advanced, refractory T cell lymphomas. No dose limiting toxicities were observed in any of the dose levels. As of January 22, 2024, and in a safety population of 73 patients, no hematologic, renal or hepatic treatment-related adverse events were observed and the most common grade 3 to 4 adverse event was pruritus, seen in four patients with lymphoma involving skin. The optimum dose was determined to be 200 mg twice per day based on anti- tumor efficacy and pharmacodynamic studies which revealed full occupancy of the ITK active site by the drug. This dose was also consistent with dose-response effects seen in preclinical experiments both in vitro and in vivo.</w:t>
      </w:r>
    </w:p>
    <w:p>
      <w:pPr>
        <w:spacing w:after="0" w:line="116"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Soquelitinib is designed to induce a host anti-tumor cell mediated immune response that requires normal functioning T cells and an adequately functioning immune system. Therapies for T cell lymphomas, such as chemotherapy, are frequently immunosuppressive. Data from the Phase 1/1b clinical trial suggest that the number of prior therapies and immunocompetence were associated with tumor response to soquelitinib and are important patient eligibility requirements, with an optimum range of ≥1 to ≤3 prior therapies.</w:t>
      </w:r>
    </w:p>
    <w:p>
      <w:pPr>
        <w:spacing w:after="0" w:line="102" w:lineRule="exact"/>
        <w:rPr>
          <w:sz w:val="20"/>
          <w:szCs w:val="20"/>
          <w:color w:val="auto"/>
        </w:rPr>
      </w:pPr>
    </w:p>
    <w:p>
      <w:pPr>
        <w:ind w:left="60" w:right="139" w:firstLine="648"/>
        <w:spacing w:after="0" w:line="272" w:lineRule="auto"/>
        <w:rPr>
          <w:sz w:val="20"/>
          <w:szCs w:val="20"/>
          <w:color w:val="auto"/>
        </w:rPr>
      </w:pPr>
      <w:r>
        <w:rPr>
          <w:rFonts w:ascii="Times New Roman" w:cs="Times New Roman" w:eastAsia="Times New Roman" w:hAnsi="Times New Roman"/>
          <w:sz w:val="17"/>
          <w:szCs w:val="17"/>
          <w:color w:val="auto"/>
        </w:rPr>
        <w:t>Interim data from the Phase 1/1b clinical trial were presented at the American Society of Hematology Annual Meeting (“ASH”) in December 2023. At that time, we also announced interim data from the trial as of November 21, 2023 on 21 evaluable patients receiving a dose of 200 mg twice per day and revealed an objective response rate (“ORR”) of</w:t>
      </w:r>
    </w:p>
    <w:p>
      <w:pPr>
        <w:spacing w:after="0" w:line="2" w:lineRule="exact"/>
        <w:rPr>
          <w:sz w:val="20"/>
          <w:szCs w:val="20"/>
          <w:color w:val="auto"/>
        </w:rPr>
      </w:pPr>
    </w:p>
    <w:p>
      <w:pPr>
        <w:ind w:left="60" w:right="179"/>
        <w:spacing w:after="0" w:line="249" w:lineRule="auto"/>
        <w:rPr>
          <w:sz w:val="20"/>
          <w:szCs w:val="20"/>
          <w:color w:val="auto"/>
        </w:rPr>
      </w:pPr>
      <w:r>
        <w:rPr>
          <w:rFonts w:ascii="Times New Roman" w:cs="Times New Roman" w:eastAsia="Times New Roman" w:hAnsi="Times New Roman"/>
          <w:sz w:val="18"/>
          <w:szCs w:val="18"/>
          <w:color w:val="auto"/>
        </w:rPr>
        <w:t>33.3% with 3 complete responses (“CRs”) and 4 partial responses (“PRs”). Since that report, one of the patients achieving a PR continued to respond and showed a CR resulting in an ORR of 33.3% with 4 CRs and 3 PRs as of an updated cutoff date of January 22, 2024. As of May 3, 2024, 25 patients were enrolled in the trial at the optimal dose, including 23 evaluable patients. For the 23 evaluable patients, objective responses (complete response, CR plus partial response, PR) were seen in nine patients (39%), including five CRs (23%) and four PRs. See waterfall plot below. Disease control (CR, PR and stable disease) was seen in 14 of 23 patients (61%). The stable disease group included five patients who achieved tumor reductions that did not meet the criteria for a PR. Several patients experiencing tumor regression are continuing on therapy as of the data cutoff.</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right="159"/>
        <w:spacing w:after="0" w:line="257" w:lineRule="auto"/>
        <w:rPr>
          <w:sz w:val="20"/>
          <w:szCs w:val="20"/>
          <w:color w:val="auto"/>
        </w:rPr>
      </w:pPr>
      <w:r>
        <w:rPr>
          <w:rFonts w:ascii="Times New Roman" w:cs="Times New Roman" w:eastAsia="Times New Roman" w:hAnsi="Times New Roman"/>
          <w:sz w:val="18"/>
          <w:szCs w:val="18"/>
          <w:b w:val="1"/>
          <w:bCs w:val="1"/>
          <w:color w:val="auto"/>
        </w:rPr>
        <w:t>Waterfall Plot for Patients in the 200 mg Dose Cohort of the Soquelitinib Phase 1/1b Clinical Trial for Peripheral T Cell Lymphoma</w:t>
      </w:r>
      <w:r>
        <w:rPr>
          <w:rFonts w:ascii="Times New Roman" w:cs="Times New Roman" w:eastAsia="Times New Roman" w:hAnsi="Times New Roman"/>
          <w:sz w:val="18"/>
          <w:szCs w:val="18"/>
          <w:color w:val="auto"/>
        </w:rPr>
        <w:t>. The plot shows the best percent change in tumor volume in the 23 evaluable patients (eligible patient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population), as of May 3, 2024, that were measurable by CT scan or by Modified Severity-Weighted Assessment Tool (mSWAT) for patients with cutaneous involvement. PTCL-NOS, peripheral T cell lymphoma not otherwise specified; CTCL, cutaneous T cell lymphoma of either Sezary or mycosis fungoides type; NKTCL, natural killer cell T cell lymphoma; ALCL, anaplastic large cell lymphoma; AITL, angioimmunoblastic T cell lymphoma.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78105</wp:posOffset>
            </wp:positionV>
            <wp:extent cx="4337685" cy="4105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337685" cy="4105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0" w:right="99" w:firstLine="389"/>
        <w:spacing w:after="0" w:line="250" w:lineRule="auto"/>
        <w:rPr>
          <w:sz w:val="20"/>
          <w:szCs w:val="20"/>
          <w:color w:val="auto"/>
        </w:rPr>
      </w:pPr>
      <w:r>
        <w:rPr>
          <w:rFonts w:ascii="Times New Roman" w:cs="Times New Roman" w:eastAsia="Times New Roman" w:hAnsi="Times New Roman"/>
          <w:sz w:val="18"/>
          <w:szCs w:val="18"/>
          <w:color w:val="auto"/>
        </w:rPr>
        <w:t>In August 2023, we completed an End-of-Phase/Pre-Phase 3 meeting with the Food and Drug Administration (“FDA”) regarding our plans to conduct a potentially registrational Phase 3 clinical trial of soquelitinib in relapsed PTCL. The FDA provided feedback on our proposed registration trial, including the proposed endpoints. We anticipate that we will be able to initiate this clinical trial in the third quarter of 2024. The clinical trial is designed to enroll a total of 150 patients with relapsed PTCL that have received ≥ 1 prior therapy and≤3 prior therapies. The number of prior therapies in this range selects for immunocompetent patients. Patients will be randomized 1:1 to soquelitinib 200 mg two-times a day or one of the standard of care chemotherapies. The standard of care agent will be based on the physician’s choice of either belinostat or pralatrexate. The primary endpoint will be progression-free survival. Secondary endpoints will include objective response rate, overall survival and duration of response. We are recruiting investigators and anticipate that leading academic and private medical centers with significant experience in lymphoma research will participate in the trial, including investigators who have conducted other Phase 3 clinical trials in T cell lymphoma and authored many peer-reviewed articles on lymphomas. There are currently no FDA fully approved agents for the treatment of relapsed PTCL.</w:t>
      </w:r>
    </w:p>
    <w:p>
      <w:pPr>
        <w:spacing w:after="0" w:line="12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reported at the International Conference of Malignant Lymphoma in June 2023, preclinical data suggest that ITK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inhibition with soquelitinib has the potential to treat solid and hematological cancers based on its novel proposed mechanism of action. Tumor immune responses were enhanced by the modulation of T cell differentiation resulting in increased T cell cytolytic capacity, increased migration of T cells into the tumor and reduced T cell exhaustion. Highlights of the presentation included:</w:t>
      </w:r>
    </w:p>
    <w:p>
      <w:pPr>
        <w:spacing w:after="0" w:line="112" w:lineRule="exact"/>
        <w:rPr>
          <w:sz w:val="20"/>
          <w:szCs w:val="20"/>
          <w:color w:val="auto"/>
        </w:rPr>
      </w:pPr>
    </w:p>
    <w:p>
      <w:pPr>
        <w:ind w:left="720" w:right="25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monotherapy provided statistically significant inhibition of tumor growth in established tumors in the following cancer models: EL4 TCL (T cell lymphoma), A20 B cell lymphoma and CT26 colon cancer.</w:t>
      </w:r>
    </w:p>
    <w:p>
      <w:pPr>
        <w:spacing w:after="0" w:line="108" w:lineRule="exact"/>
        <w:rPr>
          <w:rFonts w:ascii="Times New Roman" w:cs="Times New Roman" w:eastAsia="Times New Roman" w:hAnsi="Times New Roman"/>
          <w:sz w:val="18"/>
          <w:szCs w:val="18"/>
          <w:color w:val="auto"/>
        </w:rPr>
      </w:pPr>
    </w:p>
    <w:p>
      <w:pPr>
        <w:ind w:left="720" w:right="159" w:hanging="319"/>
        <w:spacing w:after="0" w:line="258"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EL4 TCL model, treatment with soquelitinib led to increased infiltration of normal CD8+ T cells into the tumor. In addition, these CD8+ T cells had higher expression of perforin, an effector molecule produced by killer T cells that is involved in killing cancer cells.</w:t>
      </w:r>
    </w:p>
    <w:p>
      <w:pPr>
        <w:spacing w:after="0" w:line="115" w:lineRule="exact"/>
        <w:rPr>
          <w:rFonts w:ascii="Times New Roman" w:cs="Times New Roman" w:eastAsia="Times New Roman" w:hAnsi="Times New Roman"/>
          <w:sz w:val="18"/>
          <w:szCs w:val="18"/>
          <w:color w:val="auto"/>
        </w:rPr>
      </w:pPr>
    </w:p>
    <w:p>
      <w:pPr>
        <w:ind w:left="720" w:right="139" w:hanging="319"/>
        <w:spacing w:after="0" w:line="296" w:lineRule="auto"/>
        <w:tabs>
          <w:tab w:leader="none" w:pos="7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CT26 colon cancer model, the depletion of normal CD8 cells reduced the activity observed for soquelitinib treatment, suggesting that its potential mechanism of action involves the production of normal CD8+ T cells.</w:t>
      </w:r>
    </w:p>
    <w:p>
      <w:pPr>
        <w:spacing w:after="0" w:line="84" w:lineRule="exact"/>
        <w:rPr>
          <w:rFonts w:ascii="Times New Roman" w:cs="Times New Roman" w:eastAsia="Times New Roman" w:hAnsi="Times New Roman"/>
          <w:sz w:val="17"/>
          <w:szCs w:val="17"/>
          <w:color w:val="auto"/>
        </w:rPr>
      </w:pPr>
    </w:p>
    <w:p>
      <w:pPr>
        <w:ind w:left="720" w:right="99" w:hanging="319"/>
        <w:spacing w:after="0" w:line="258"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CT26 colon cancer model, treatment with soquelitinib reduced the expression of T cell exhaustion markers. T cell exhaustion is a phenomenon seen in tumors and chronic infections where prolonged exposure to antigens results in exhausted or ineffective T cell function and inability to eliminate tumors or infections.</w:t>
      </w:r>
    </w:p>
    <w:p>
      <w:pPr>
        <w:spacing w:after="0" w:line="115" w:lineRule="exact"/>
        <w:rPr>
          <w:rFonts w:ascii="Times New Roman" w:cs="Times New Roman" w:eastAsia="Times New Roman" w:hAnsi="Times New Roman"/>
          <w:sz w:val="18"/>
          <w:szCs w:val="18"/>
          <w:color w:val="auto"/>
        </w:rPr>
      </w:pPr>
    </w:p>
    <w:p>
      <w:pPr>
        <w:ind w:left="720" w:right="419" w:hanging="319"/>
        <w:spacing w:after="0" w:line="258"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other murine studies using antigen primed T cells that were repeatedly stimulated, soquelitinib reduced the development of T cell exhaustion and reversed it in already exhausted T cells. These reinvigorated T cells regained their cancer cell killing capacity.</w:t>
      </w:r>
    </w:p>
    <w:p>
      <w:pPr>
        <w:spacing w:after="0" w:line="115"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We believe these findings suggest that the inhibition of ITK by soquelitinib produced changes in the tumor microenvironment that enhanced anti-tumor immunity creating a less favorable environment for tumor growth and provides the rationale for clinical investigation in a monotherapy trial of soquelitinib in solid tumors. We are planning a Phase 1b/2 clinical trial, in collaboration with the Kidney Cancer Research Consortium, of soquelitinib in solid tumors in patients with renal cell cancer (“RCC”) who have failed checkpoint inhibitor therapy.</w:t>
      </w:r>
    </w:p>
    <w:p>
      <w:pPr>
        <w:spacing w:after="0" w:line="102" w:lineRule="exact"/>
        <w:rPr>
          <w:sz w:val="20"/>
          <w:szCs w:val="20"/>
          <w:color w:val="auto"/>
        </w:rPr>
      </w:pPr>
    </w:p>
    <w:p>
      <w:pPr>
        <w:ind w:left="60" w:right="339" w:firstLine="324"/>
        <w:spacing w:after="0" w:line="261" w:lineRule="auto"/>
        <w:rPr>
          <w:sz w:val="20"/>
          <w:szCs w:val="20"/>
          <w:color w:val="auto"/>
        </w:rPr>
      </w:pPr>
      <w:r>
        <w:rPr>
          <w:rFonts w:ascii="Times New Roman" w:cs="Times New Roman" w:eastAsia="Times New Roman" w:hAnsi="Times New Roman"/>
          <w:sz w:val="18"/>
          <w:szCs w:val="18"/>
          <w:color w:val="auto"/>
        </w:rPr>
        <w:t>In July 2023, we announced the posting of preclinical data on soquelitinib in bioRxiv, the online archive for unpublished preprints in the life sciences, which highlighted the potential of selective inhibition of ITK to enhance anti-tumor immune response to hematologic and solid tumors and provide a novel approach to cancer immunotherapy. Key results from the preclinical studies described in the paper demonstrated that soquelitinib:</w:t>
      </w:r>
    </w:p>
    <w:p>
      <w:pPr>
        <w:spacing w:after="0" w:line="99" w:lineRule="exact"/>
        <w:rPr>
          <w:sz w:val="20"/>
          <w:szCs w:val="20"/>
          <w:color w:val="auto"/>
        </w:rPr>
      </w:pPr>
    </w:p>
    <w:p>
      <w:pPr>
        <w:ind w:left="720" w:right="439" w:hanging="319"/>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Selectively bound to and inhibited ITK function while sparing other closely related kinases, including resting lymphocyte kinase (“RLK”).</w:t>
      </w:r>
    </w:p>
    <w:p>
      <w:pPr>
        <w:spacing w:after="0" w:line="80" w:lineRule="exact"/>
        <w:rPr>
          <w:rFonts w:ascii="Times New Roman" w:cs="Times New Roman" w:eastAsia="Times New Roman" w:hAnsi="Times New Roman"/>
          <w:sz w:val="18"/>
          <w:szCs w:val="18"/>
          <w:color w:val="auto"/>
        </w:rPr>
      </w:pPr>
    </w:p>
    <w:p>
      <w:pPr>
        <w:ind w:left="720" w:right="139" w:hanging="319"/>
        <w:spacing w:after="0" w:line="261"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Inhibited Th2 T cell function and the production of various Th2 cytokines leading to Th1 skewing and production of interferon gamma and tumor necrosis factor, which are important cytokines in tumor rejection. Th2 cytokines have been previously implicated in promoting tumor growth and are also involved in autoimmune and allergic diseases.</w:t>
      </w:r>
    </w:p>
    <w:p>
      <w:pPr>
        <w:spacing w:after="0" w:line="8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Activated cytotoxic killer cells and increases infiltration of these cells into tumors.</w:t>
      </w:r>
    </w:p>
    <w:p>
      <w:pPr>
        <w:spacing w:after="0" w:line="144" w:lineRule="exact"/>
        <w:rPr>
          <w:rFonts w:ascii="Times New Roman" w:cs="Times New Roman" w:eastAsia="Times New Roman" w:hAnsi="Times New Roman"/>
          <w:sz w:val="18"/>
          <w:szCs w:val="18"/>
          <w:color w:val="auto"/>
        </w:rPr>
      </w:pPr>
    </w:p>
    <w:p>
      <w:pPr>
        <w:ind w:left="720" w:right="639" w:hanging="319"/>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and reversed T cell exhaustion resulting in a more potent and prolonged immune response. T cell exhaustion is often a major reason for resistance to immune checkpoint therapy.</w:t>
      </w:r>
    </w:p>
    <w:p>
      <w:pPr>
        <w:spacing w:after="0" w:line="80" w:lineRule="exact"/>
        <w:rPr>
          <w:rFonts w:ascii="Times New Roman" w:cs="Times New Roman" w:eastAsia="Times New Roman" w:hAnsi="Times New Roman"/>
          <w:sz w:val="18"/>
          <w:szCs w:val="18"/>
          <w:color w:val="auto"/>
        </w:rPr>
      </w:pPr>
    </w:p>
    <w:p>
      <w:pPr>
        <w:ind w:left="720" w:right="119" w:hanging="319"/>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Led to in vivo anti-tumor activity in several mouse tumor models, including colon, renal, melanoma, B cell and T cell tumor.</w:t>
      </w:r>
    </w:p>
    <w:p>
      <w:pPr>
        <w:spacing w:after="0" w:line="94" w:lineRule="exact"/>
        <w:rPr>
          <w:sz w:val="20"/>
          <w:szCs w:val="20"/>
          <w:color w:val="auto"/>
        </w:rPr>
      </w:pPr>
    </w:p>
    <w:p>
      <w:pPr>
        <w:ind w:left="60" w:right="259" w:firstLine="324"/>
        <w:spacing w:after="0" w:line="254" w:lineRule="auto"/>
        <w:rPr>
          <w:sz w:val="20"/>
          <w:szCs w:val="20"/>
          <w:color w:val="auto"/>
        </w:rPr>
      </w:pPr>
      <w:r>
        <w:rPr>
          <w:rFonts w:ascii="Times New Roman" w:cs="Times New Roman" w:eastAsia="Times New Roman" w:hAnsi="Times New Roman"/>
          <w:sz w:val="18"/>
          <w:szCs w:val="18"/>
          <w:color w:val="auto"/>
        </w:rPr>
        <w:t>In September 2023, a paper was published by an independent academic group in Scientific Reports supporting the potential of ITK inhibition for treatment of solid tumors. The preclinical data demonstrated a reduction and reversal of T cell exhaustion markers and an increase in the infiltration of killer T cells into tumors, consistent with soquelitinib’s proposed mechanism of action. The paper highlights the potential of selective ITK inhibition for the treatment of cancers and helps to confirm preclinical and clinical results generated by Corvus.</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In November 2023, we announced the posting of preclinical data on soquelitinib in bioRxiv that demonstrated that ITK’s selective inhibition produced therapeutic benefits in several autoimmune and allergy preclinical models, including psoriasis, asthma, pulmonary fibrosis, scleroderma and graft versus host disease. The mechanism of action involves the inhibition of Th2 and Th17 cells and their subsequent production of cytokines such as IL-4, IL-5, IL-17 and other cytokines involved in these diseases. The novel mechanism is a result of ITK inhibition and blockade of formation of Th2 and Th17 cells.</w:t>
      </w:r>
    </w:p>
    <w:p>
      <w:pPr>
        <w:spacing w:after="0" w:line="106"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We are enrolling patients at multiple clinical sites in a randomized, placebo-controlled Phase 1 clinical trial of soquelitinib in patients with moderate to severe atopic dermatitis. The trial is planned to enroll 64 patients that have failed at least one prior therapy across four different 28-day dosing regimens of soquelitinib compared to a placebo group. The endpoints include safety and improvement in Eczema Area and Severity Index (“EASI”). Patients and physicians will be blinded to treatment assignment. We expect initial data for this clinical trial before year-end 2024.</w:t>
      </w:r>
    </w:p>
    <w:p>
      <w:pPr>
        <w:spacing w:after="0" w:line="102"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We continue to advance our next-generation ITK inhibitor preclinical product candidates, which were designed to deliver precise T-cell modulation that is optimized for specific immunology indications. The next-generation ITK inhibitor candidates are part of our ongoing business development efforts to maximize the potential of the our ITK inhibitor programs and other programs.</w:t>
      </w:r>
    </w:p>
    <w:p>
      <w:pPr>
        <w:spacing w:after="0" w:line="99" w:lineRule="exact"/>
        <w:rPr>
          <w:sz w:val="20"/>
          <w:szCs w:val="20"/>
          <w:color w:val="auto"/>
        </w:rPr>
      </w:pPr>
    </w:p>
    <w:p>
      <w:pPr>
        <w:ind w:left="60" w:right="179" w:firstLine="389"/>
        <w:spacing w:after="0" w:line="282" w:lineRule="auto"/>
        <w:rPr>
          <w:sz w:val="20"/>
          <w:szCs w:val="20"/>
          <w:color w:val="auto"/>
        </w:rPr>
      </w:pPr>
      <w:r>
        <w:rPr>
          <w:rFonts w:ascii="Times New Roman" w:cs="Times New Roman" w:eastAsia="Times New Roman" w:hAnsi="Times New Roman"/>
          <w:sz w:val="18"/>
          <w:szCs w:val="18"/>
          <w:color w:val="auto"/>
        </w:rPr>
        <w:t>We have issued patents covering composition of matter and uses of our ITK inhibitors and hold exclusive worldwide rights (except for greater China) for all indications.</w:t>
      </w:r>
    </w:p>
    <w:p>
      <w:pPr>
        <w:spacing w:after="0" w:line="94" w:lineRule="exact"/>
        <w:rPr>
          <w:sz w:val="20"/>
          <w:szCs w:val="20"/>
          <w:color w:val="auto"/>
        </w:rPr>
      </w:pPr>
    </w:p>
    <w:p>
      <w:pPr>
        <w:ind w:left="60" w:right="179" w:firstLine="389"/>
        <w:spacing w:after="0" w:line="250" w:lineRule="auto"/>
        <w:rPr>
          <w:sz w:val="20"/>
          <w:szCs w:val="20"/>
          <w:color w:val="auto"/>
        </w:rPr>
      </w:pPr>
      <w:r>
        <w:rPr>
          <w:rFonts w:ascii="Times New Roman" w:cs="Times New Roman" w:eastAsia="Times New Roman" w:hAnsi="Times New Roman"/>
          <w:sz w:val="18"/>
          <w:szCs w:val="18"/>
          <w:color w:val="auto"/>
        </w:rPr>
        <w:t>Our second product candidate, ciforadenant, is an oral, small molecule antagonist of the A2A receptor for adenosine designed to disable a tumor’s ability to subvert attack by the immune system by blocking the binding of immunosuppressive adenosine in the tumor microenvironment to the A2A receptor. In 2018, we published preclinical findings in animal tumor models demonstrating that treatment with anti-CTLA4 antibody combined with ciforadenant provided synergistic anti-tumor activity based on a novel mechanism of action. We are collaborating with the Kidney Cancer Research Consortium to evaluate ciforadenant in an open label Phase 1b/2 clinical trial as a first line therapy for metastatic RCC in combination with ipilimumab (anti-CTLA-4) and nivolumab (anti-PD-1). The efficacy endpoint for the trial is deep response rate, defined as CR plus PRs of greater than 50% tumor volume reduction. The clinical trial is expected to enroll up to 60 patients and as of May 2, 2024, a total of 27 patients were enrolled in the trial. The protocol defined pre-specified statistical threshold for efficacy is a 50% increase above the 32% deep response rate seen with previous ipilimumab/nivolumab combination trials in RCC conducted by investigators at the Kidney Cancer Research Consortium. As of May 2, 2024, the interim analysis of the clinical trial has met the threshold for efficacy and therefore enrollment continues.</w:t>
      </w:r>
    </w:p>
    <w:p>
      <w:pPr>
        <w:spacing w:after="0" w:line="127" w:lineRule="exact"/>
        <w:rPr>
          <w:sz w:val="20"/>
          <w:szCs w:val="20"/>
          <w:color w:val="auto"/>
        </w:rPr>
      </w:pPr>
    </w:p>
    <w:p>
      <w:pPr>
        <w:ind w:left="60" w:right="319" w:firstLine="648"/>
        <w:spacing w:after="0" w:line="255" w:lineRule="auto"/>
        <w:rPr>
          <w:sz w:val="20"/>
          <w:szCs w:val="20"/>
          <w:color w:val="auto"/>
        </w:rPr>
      </w:pPr>
      <w:r>
        <w:rPr>
          <w:rFonts w:ascii="Times New Roman" w:cs="Times New Roman" w:eastAsia="Times New Roman" w:hAnsi="Times New Roman"/>
          <w:sz w:val="18"/>
          <w:szCs w:val="18"/>
          <w:color w:val="auto"/>
        </w:rPr>
        <w:t>Ciforadenant preclinical data were presented at the Japanese Cancer Association and American Association for Cancer Research Precision Cancer Medicine International Conference, which took place June 28 to June 30, 2023 in Kyoto, Japan. The presentation highlighted data supporting the synergy between ciforadenant and immune checkpoint blockade (“ICB”), leading to a proinflammatory response. Highlights of the presentation included:</w:t>
      </w:r>
    </w:p>
    <w:p>
      <w:pPr>
        <w:spacing w:after="0" w:line="119" w:lineRule="exact"/>
        <w:rPr>
          <w:sz w:val="20"/>
          <w:szCs w:val="20"/>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Depletion of myeloid cells abolished the synergy of ciforadenant and ICB in a murine melanoma model.</w:t>
      </w:r>
    </w:p>
    <w:p>
      <w:pPr>
        <w:spacing w:after="0" w:line="144" w:lineRule="exact"/>
        <w:rPr>
          <w:rFonts w:ascii="Times New Roman" w:cs="Times New Roman" w:eastAsia="Times New Roman" w:hAnsi="Times New Roman"/>
          <w:sz w:val="18"/>
          <w:szCs w:val="18"/>
          <w:color w:val="auto"/>
        </w:rPr>
      </w:pPr>
    </w:p>
    <w:p>
      <w:pPr>
        <w:ind w:left="720" w:right="379" w:hanging="319"/>
        <w:spacing w:after="0" w:line="266"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combination of ciforadenant with ICB upregulated the genes involved in the IL-12/STAT4 signaling axis, which led to the development of CXCR3+ IFNγ-producing Th1 helper cells.</w:t>
      </w:r>
    </w:p>
    <w:p>
      <w:pPr>
        <w:spacing w:after="0" w:line="108" w:lineRule="exact"/>
        <w:rPr>
          <w:rFonts w:ascii="Times New Roman" w:cs="Times New Roman" w:eastAsia="Times New Roman" w:hAnsi="Times New Roman"/>
          <w:sz w:val="18"/>
          <w:szCs w:val="18"/>
          <w:color w:val="auto"/>
        </w:rPr>
      </w:pPr>
    </w:p>
    <w:p>
      <w:pPr>
        <w:ind w:left="720" w:right="299" w:hanging="319"/>
        <w:spacing w:after="0" w:line="266"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Ciforadenant treatment increased production of chemokine CXCL10, a ligand for recruitment of CXCR3+ Th1 helper cells into the tumor.</w:t>
      </w:r>
    </w:p>
    <w:p>
      <w:pPr>
        <w:spacing w:after="0" w:line="108" w:lineRule="exact"/>
        <w:rPr>
          <w:rFonts w:ascii="Times New Roman" w:cs="Times New Roman" w:eastAsia="Times New Roman" w:hAnsi="Times New Roman"/>
          <w:sz w:val="18"/>
          <w:szCs w:val="18"/>
          <w:color w:val="auto"/>
        </w:rPr>
      </w:pPr>
    </w:p>
    <w:p>
      <w:pPr>
        <w:ind w:left="720" w:right="299" w:hanging="319"/>
        <w:spacing w:after="0" w:line="266"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Ciforadenant modulated antitumor responses by turning the tumor microenvironment into the proinflammatory state.</w:t>
      </w:r>
    </w:p>
    <w:p>
      <w:pPr>
        <w:spacing w:after="0" w:line="108" w:lineRule="exact"/>
        <w:rPr>
          <w:rFonts w:ascii="Times New Roman" w:cs="Times New Roman" w:eastAsia="Times New Roman" w:hAnsi="Times New Roman"/>
          <w:sz w:val="18"/>
          <w:szCs w:val="18"/>
          <w:color w:val="auto"/>
        </w:rPr>
      </w:pPr>
    </w:p>
    <w:p>
      <w:pPr>
        <w:ind w:left="720" w:right="79" w:hanging="319"/>
        <w:spacing w:after="0" w:line="266"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combination of ciforadenant with ICB promoted the production of several proinflammatory cytokines such as IL-6, TNFa, and IFNg.</w:t>
      </w:r>
    </w:p>
    <w:p>
      <w:pPr>
        <w:spacing w:after="0" w:line="108" w:lineRule="exact"/>
        <w:rPr>
          <w:sz w:val="20"/>
          <w:szCs w:val="20"/>
          <w:color w:val="auto"/>
        </w:rPr>
      </w:pPr>
    </w:p>
    <w:p>
      <w:pPr>
        <w:jc w:val="both"/>
        <w:ind w:left="60" w:right="239" w:firstLine="648"/>
        <w:spacing w:after="0" w:line="289" w:lineRule="auto"/>
        <w:rPr>
          <w:sz w:val="20"/>
          <w:szCs w:val="20"/>
          <w:color w:val="auto"/>
        </w:rPr>
      </w:pPr>
      <w:r>
        <w:rPr>
          <w:rFonts w:ascii="Times New Roman" w:cs="Times New Roman" w:eastAsia="Times New Roman" w:hAnsi="Times New Roman"/>
          <w:sz w:val="17"/>
          <w:szCs w:val="17"/>
          <w:color w:val="auto"/>
        </w:rPr>
        <w:t>Our third product candidate is mupadolimab, a humanized monoclonal antibody that is designed to react with a specific site on CD73. In both preclinical and in vivo studies, mupadolimab has demonstrated binding to various immune cells and the enhancement of immune responses by activating B cells. While we believe mupadolimab has the potential</w:t>
      </w:r>
    </w:p>
    <w:p>
      <w:pPr>
        <w:sectPr>
          <w:pgSz w:w="11900" w:h="16838" w:orient="portrait"/>
          <w:cols w:equalWidth="0" w:num="1">
            <w:col w:w="9019"/>
          </w:cols>
          <w:pgMar w:left="1440" w:top="607"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to be an important new therapeutic agent with a novel mechanism of action for the treatment of a broad range of cancers and infectious diseases, we are waiting to initiate a potential Phase 2 randomized clinical trial in order to prioritize the development of our other two lead product candidates. Angel Pharmaceuticals Co. Ltd. (“Angel Pharmaceuticals”) is continuing the development of mupadolimab in China and is enrolling patients in a Phase 1/1b clinical trial with mupadolimab alone and together with pembrolizumab in patients with advanced NSCLC and head and neck squamous cell cancer (“HNSCC”).</w:t>
      </w:r>
    </w:p>
    <w:p>
      <w:pPr>
        <w:spacing w:after="0" w:line="106" w:lineRule="exact"/>
        <w:rPr>
          <w:sz w:val="20"/>
          <w:szCs w:val="20"/>
          <w:color w:val="auto"/>
        </w:rPr>
      </w:pPr>
    </w:p>
    <w:p>
      <w:pPr>
        <w:ind w:left="60" w:right="99" w:firstLine="648"/>
        <w:spacing w:after="0" w:line="289" w:lineRule="auto"/>
        <w:rPr>
          <w:sz w:val="20"/>
          <w:szCs w:val="20"/>
          <w:color w:val="auto"/>
        </w:rPr>
      </w:pPr>
      <w:r>
        <w:rPr>
          <w:rFonts w:ascii="Times New Roman" w:cs="Times New Roman" w:eastAsia="Times New Roman" w:hAnsi="Times New Roman"/>
          <w:sz w:val="17"/>
          <w:szCs w:val="17"/>
          <w:color w:val="auto"/>
        </w:rPr>
        <w:t>Our molecularly targeted product candidates are designed to exhibit a high degree of specificity, which we believe have the potential to provide greater safety compared to other cancer therapies and may facilitate their development either as monotherapies or in combination with other cancer therapies such as immune checkpoint inhibitors or chemotherapy.</w:t>
      </w:r>
    </w:p>
    <w:p>
      <w:pPr>
        <w:spacing w:after="0" w:line="90" w:lineRule="exact"/>
        <w:rPr>
          <w:sz w:val="20"/>
          <w:szCs w:val="20"/>
          <w:color w:val="auto"/>
        </w:rPr>
      </w:pPr>
    </w:p>
    <w:p>
      <w:pPr>
        <w:jc w:val="both"/>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We believe the breadth and status of our pipeline demonstrates our management team’s expertise in understanding and developing immunology focused assets as well as in identifying product candidates that can be in-licensed and further developed internally to treat many types of cancer. We hold worldwide rights to all of our product candidates (other than in greater China).</w:t>
      </w:r>
    </w:p>
    <w:p>
      <w:pPr>
        <w:spacing w:after="0" w:line="119" w:lineRule="exact"/>
        <w:rPr>
          <w:sz w:val="20"/>
          <w:szCs w:val="20"/>
          <w:color w:val="auto"/>
        </w:rPr>
      </w:pPr>
    </w:p>
    <w:p>
      <w:pPr>
        <w:ind w:left="60" w:right="119" w:firstLine="648"/>
        <w:spacing w:after="0" w:line="250" w:lineRule="auto"/>
        <w:rPr>
          <w:sz w:val="20"/>
          <w:szCs w:val="20"/>
          <w:color w:val="auto"/>
        </w:rPr>
      </w:pPr>
      <w:r>
        <w:rPr>
          <w:rFonts w:ascii="Times New Roman" w:cs="Times New Roman" w:eastAsia="Times New Roman" w:hAnsi="Times New Roman"/>
          <w:sz w:val="18"/>
          <w:szCs w:val="18"/>
          <w:color w:val="auto"/>
        </w:rPr>
        <w:t>Our diverse and versatile product candidates also have enabled us to take steps to address markets in foreign countries. In October 2020, we announced the formation and launch of Angel Pharmaceuticals, a China-based biopharmaceutical company with a mission to bring innovative quality medicines to Chinese patients for treatment of serious diseases including cancer, autoimmune diseases and infectious diseases. We formed Angel Pharmaceuticals as a wholly owned subsidiary and it launched with a post-money valuation of approximately $106.0 million, based on an approximate $41.0 million cash investment from a Chinese investor group that includes funds associated with Tigermed and Betta Pharmaceuticals, Hisun Pharmaceuticals and Zhejiang Puissance Capital. Such cash is not available for our use. Contemporaneously with the financing, Angel Pharmaceuticals licensed the rights to develop and commercialize our three clinical-stage candidates – soquelitinib, ciforadenant and mupadolimab – in greater China and obtained global rights to our BTK inhibitor preclinical programs. Under the collaboration, we currently have a 49.7% equity interest in Angel Pharmaceuticals, excluding 7% of Angel’s equity reserved for issuance under the Employee Stock Ownership Plan (“ESOP”), and are entitled to designate three individuals on Angel’s five-person board of directors.</w:t>
      </w:r>
    </w:p>
    <w:p>
      <w:pPr>
        <w:spacing w:after="0" w:line="126" w:lineRule="exact"/>
        <w:rPr>
          <w:sz w:val="20"/>
          <w:szCs w:val="20"/>
          <w:color w:val="auto"/>
        </w:rPr>
      </w:pPr>
    </w:p>
    <w:p>
      <w:pPr>
        <w:ind w:left="60" w:right="179" w:firstLine="648"/>
        <w:spacing w:after="0" w:line="252" w:lineRule="auto"/>
        <w:rPr>
          <w:sz w:val="20"/>
          <w:szCs w:val="20"/>
          <w:color w:val="auto"/>
        </w:rPr>
      </w:pPr>
      <w:r>
        <w:rPr>
          <w:rFonts w:ascii="Times New Roman" w:cs="Times New Roman" w:eastAsia="Times New Roman" w:hAnsi="Times New Roman"/>
          <w:sz w:val="18"/>
          <w:szCs w:val="18"/>
          <w:color w:val="auto"/>
        </w:rPr>
        <w:t>To date, the majority of our efforts have been focused on the research, development and advancement of soquelitinib, ciforadenant, and mupadolimab, and we have not generated any revenue from product sales and, as a result, we have incurred significant losses. We expect to continue to incur significant research and development and general and administrative expenses related to our operations. Our net loss for the three months ended March 31, 2024 was $5.7 million. As of March 31, 2024, we had an accumulated deficit of $340.4 million. We expect our losses will increase as we continue our development of, seek regulatory approval for and begin to commercialize soquelitinib, ciforadenant and mupadolimab, and as we develop other product candidates. Even if we achieve profitability in the future, we may not be able to sustain profitability in subsequent periods.</w:t>
      </w:r>
    </w:p>
    <w:p>
      <w:pPr>
        <w:spacing w:after="0" w:line="111"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Since our inception and through March 31, 2024, we have funded our operations primarily through the sale and issuance of preferred and common stock, including through our initial public offering (“IPO”) in March 2016, in which we raised net proceeds of approximately $70.6 million, a follow-on offering of our common stock in March 2018, in which we raised net proceeds of approximately $64.9 million and a follow on offering in February 2021, in which we raised net proceeds of approximately $32.0 million, in each case net of underwriting discounts and commissions and offering expenses. Immediately prior to the consummation of the IPO, all of our outstanding shares of redeemable convertible preferred stock were converted into 14.3 million shares of our common stock.</w:t>
      </w:r>
    </w:p>
    <w:p>
      <w:pPr>
        <w:spacing w:after="0" w:line="18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On March 28, 2023, we entered into an open market sale agreement (the “2023 Sales Agreement”) with Jefferies LLC (“Jefferies”) to sell shares of our common stock, from time-to-time, with aggregate gross sales proceeds of up to $90.0 million, through an at-the-market equity offering program under which Jefferies will act as our sales agent. The issuance and sale of shares of common stock pursuant to the 2023 Sales Agreement are deemed an “at-the-market” offering under the Securities Act of 1933, as amended. Jefferies is entitled to compensation for its services equal to 3.0% of the gross proceeds of any shares of common stock sold through Jefferies under the 2023 Sales Agreement.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2024, we did not sell any shares of common stock under our at-the-market offering program. As of March 31, 2024, $81.9 million remained available for sale under the 2023 Sales Agreement. On May 1, 2024, we amended the 2023 Sales Agreement to decrease the aggregate gross sales proceeds from $90.0 million to $8.2 million, which decreased the amount available for sale under the 2023 Sales Agreement from $81.9 million to $100,000.</w:t>
      </w:r>
    </w:p>
    <w:p>
      <w:pPr>
        <w:spacing w:after="0" w:line="183"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Our three product candidates, soquelitinib, ciforadenant and mupadolimab, are in clinical development by us and / or our partner, Angel Pharmaceuticals. Except for Greater China, we own the world-wide rights to these product candidates.</w:t>
      </w:r>
    </w:p>
    <w:p>
      <w:pPr>
        <w:spacing w:after="0" w:line="183"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We plan to focus our development efforts in 2024 on soquelitinib with the start of a potentially registrational Phase 3 clinical trial of soquelitinib in relapsed PTCL and a randomized, placebo-controlled Phase 1 trial of soquelitinib in patients with moderate to severe atopic dermatitis. As a result of our ongoing development efforts, we anticipate needing to spend substantial resources for the foreseeable future. Consequently, we will need additional financing to support our continuing operations. Until such time as we can generate significant revenue from product sales, if ever, we expect to finance our operations through a combination of public or private equity or debt financings or other sources, which may include collaborations with third parties. Such financing could result in dilution to stockholders and may include the imposition of debt covenants and repayment obligations or other restrictions that may affect our business. If we raise additional capital through strategic collaboration agreements, we may have to relinquish valuable rights to our product candidates, including potential future revenue streams. Adequate additional financing may not be available to us on acceptable terms, or at all. For example, the trading prices for our and other biopharmaceutical companies’ stock have been highly volatile as a result of factors such as the impacts of pandemics, such as COVID-19, and increases in inflation rates or interest rates. As a result, we may face difficulties raising capital through sales of our common stock and any such sales may be on unfavorable terms. Our inability to raise capital as and when needed would have a negative impact on our financial condition and our ability to pursue our business strategy. We will need to generate significant revenue to achieve profitability, and we may never do so.</w:t>
      </w:r>
    </w:p>
    <w:p>
      <w:pPr>
        <w:spacing w:after="0" w:line="195" w:lineRule="exact"/>
        <w:rPr>
          <w:sz w:val="20"/>
          <w:szCs w:val="20"/>
          <w:color w:val="auto"/>
        </w:rPr>
      </w:pPr>
    </w:p>
    <w:p>
      <w:pPr>
        <w:ind w:left="60" w:right="59" w:firstLine="648"/>
        <w:spacing w:after="0" w:line="250" w:lineRule="auto"/>
        <w:rPr>
          <w:sz w:val="20"/>
          <w:szCs w:val="20"/>
          <w:color w:val="auto"/>
        </w:rPr>
      </w:pPr>
      <w:r>
        <w:rPr>
          <w:rFonts w:ascii="Times New Roman" w:cs="Times New Roman" w:eastAsia="Times New Roman" w:hAnsi="Times New Roman"/>
          <w:sz w:val="18"/>
          <w:szCs w:val="18"/>
          <w:color w:val="auto"/>
        </w:rPr>
        <w:t>As of March 31, 2024, we had capital resources consisting of cash, cash equivalents and marketable securities of approximately $22.1 million. On May 6, 2024, we closed a registered direct offering which resulted in gross proceeds of approximately $30.6 million. Based on our currently available cash resources, the proceeds from our recent financing and our currently planned level of operations and cash flows, we expect that our cash resources will be sufficient to enable us to advance our programs into the fourth quarter of 2025. In accordance with applicable accounting standards, we evaluated whether there are conditions and events, considered in the aggregate, that raise substantial doubt about our ability to continue as a going concern for at least the next 12 months after the date of the issuance of the condensed consolidated financial statements included elsewhere in this Quarterly Report on Form 10-Q and concluded that our existing cash, cash equivalents and marketable securities, including the approximate gross proceeds of $30.6 million from our May 2024 registered direct offering, are sufficient to fund our operations for at least the next 12 months from issuance of the condensed consolidated financial statements. However, the Company will need to continue to raise additional capital to fund its operations. See “Risk Factors—Risks Related to Our Limited Operating History, Financial Condition and Need for Additional Capital.”</w:t>
      </w:r>
    </w:p>
    <w:p>
      <w:pPr>
        <w:spacing w:after="0" w:line="194"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We currently have no manufacturing capabilities and do not intend to establish any such capabilities. We have no commercial manufacturing facilities for our product candidates. As such, we are dependent on third parties to supply our product candidates according to our specifications, in sufficient quantities, on time, in compliance with appropriate regulatory standards and at competitive prices.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216" w:lineRule="exact"/>
        <w:rPr>
          <w:sz w:val="20"/>
          <w:szCs w:val="20"/>
          <w:color w:val="auto"/>
        </w:rPr>
      </w:pPr>
    </w:p>
    <w:p>
      <w:pPr>
        <w:jc w:val="both"/>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are described in Note 2 to our condensed consolidated financial statements for the year ended December 31, 2023 included in our Annual Report on Form 10-K. There have been no material changes to our significant accounting policies during the three months ended March 31, 2024.</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60" w:right="359" w:firstLine="648"/>
        <w:spacing w:after="0" w:line="266" w:lineRule="auto"/>
        <w:rPr>
          <w:sz w:val="20"/>
          <w:szCs w:val="20"/>
          <w:color w:val="auto"/>
        </w:rPr>
      </w:pPr>
      <w:r>
        <w:rPr>
          <w:rFonts w:ascii="Times New Roman" w:cs="Times New Roman" w:eastAsia="Times New Roman" w:hAnsi="Times New Roman"/>
          <w:sz w:val="18"/>
          <w:szCs w:val="18"/>
          <w:color w:val="auto"/>
        </w:rPr>
        <w:t>To date, we have not generated any revenues. We do not expect to receive any revenues from any product candidates that we develop unless and until we obtain regulatory approval and commercialize our products or enter into revenue-generating collaboration agreements with third parties.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costs incurred to conduct research and development of our product candidates. We record research and development expenses as incurred. Research and development expenses include:</w:t>
      </w:r>
    </w:p>
    <w:p>
      <w:pPr>
        <w:spacing w:after="0" w:line="162" w:lineRule="exact"/>
        <w:rPr>
          <w:sz w:val="20"/>
          <w:szCs w:val="20"/>
          <w:color w:val="auto"/>
        </w:rPr>
      </w:pPr>
    </w:p>
    <w:p>
      <w:pPr>
        <w:ind w:left="1040" w:right="579" w:hanging="315"/>
        <w:spacing w:after="0" w:line="282"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travel and non-cash stock-based compensation expense;</w:t>
      </w:r>
    </w:p>
    <w:p>
      <w:pPr>
        <w:spacing w:after="0" w:line="161" w:lineRule="exact"/>
        <w:rPr>
          <w:rFonts w:ascii="Times New Roman" w:cs="Times New Roman" w:eastAsia="Times New Roman" w:hAnsi="Times New Roman"/>
          <w:sz w:val="18"/>
          <w:szCs w:val="18"/>
          <w:color w:val="auto"/>
        </w:rPr>
      </w:pPr>
    </w:p>
    <w:p>
      <w:pPr>
        <w:jc w:val="both"/>
        <w:ind w:left="1040" w:right="119" w:hanging="315"/>
        <w:spacing w:after="0" w:line="266"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arrangements with third parties, such as contract research organizations, preclinical testing organizations, contract manufacturing organizations, academic and non-profit institutions and consultants;</w:t>
      </w:r>
    </w:p>
    <w:p>
      <w:pPr>
        <w:spacing w:after="0" w:line="175" w:lineRule="exact"/>
        <w:rPr>
          <w:rFonts w:ascii="Times New Roman" w:cs="Times New Roman" w:eastAsia="Times New Roman" w:hAnsi="Times New Roman"/>
          <w:sz w:val="18"/>
          <w:szCs w:val="18"/>
          <w:color w:val="auto"/>
        </w:rPr>
      </w:pPr>
    </w:p>
    <w:p>
      <w:pPr>
        <w:ind w:left="1040" w:right="419" w:hanging="315"/>
        <w:spacing w:after="0" w:line="282"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acquire technologies to be used in research and development that have not reached technological feasibility and have no alternative future use;</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fees;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which include direct and allocated expenses for laboratory, facilities and other costs.</w:t>
      </w:r>
    </w:p>
    <w:p>
      <w:pPr>
        <w:spacing w:after="0" w:line="225"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We plan to increase our research and development expenses substantially as we continue the development and potential commercialization of our product candidates. Our current planned research and development activities include the following:</w:t>
      </w:r>
    </w:p>
    <w:p>
      <w:pPr>
        <w:spacing w:after="0" w:line="162" w:lineRule="exact"/>
        <w:rPr>
          <w:sz w:val="20"/>
          <w:szCs w:val="20"/>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our ongoing Phase 1/1b clinical trial of soquelitinib in PTCL;</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our ongoing Phase 1 clinical trial of soquelitinib in atopic dermatitis;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potential Phase 3 registrational clinical trial for soquelitinib in PTCL;</w:t>
      </w:r>
    </w:p>
    <w:p>
      <w:pPr>
        <w:spacing w:after="0" w:line="225" w:lineRule="exact"/>
        <w:rPr>
          <w:rFonts w:ascii="Times New Roman" w:cs="Times New Roman" w:eastAsia="Times New Roman" w:hAnsi="Times New Roman"/>
          <w:sz w:val="18"/>
          <w:szCs w:val="18"/>
          <w:color w:val="auto"/>
        </w:rPr>
      </w:pPr>
    </w:p>
    <w:p>
      <w:pPr>
        <w:ind w:left="1040" w:right="119" w:hanging="315"/>
        <w:spacing w:after="0" w:line="282"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and completion of our Phase 1b/2 clinical trial with ciforadenant in collaboration with the Kidney Cancer Research Consortium;</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potential clinical trial of soquelitinib in solid tumors;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process development and manufacturing of drug supply of soquelitinib and ciforadenant;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studies under our other programs in order to select development product candidates.</w:t>
      </w:r>
    </w:p>
    <w:p>
      <w:pPr>
        <w:spacing w:after="0" w:line="225" w:lineRule="exact"/>
        <w:rPr>
          <w:sz w:val="20"/>
          <w:szCs w:val="20"/>
          <w:color w:val="auto"/>
        </w:rPr>
      </w:pPr>
    </w:p>
    <w:p>
      <w:pPr>
        <w:ind w:left="60" w:right="439" w:firstLine="648"/>
        <w:spacing w:after="0" w:line="266" w:lineRule="auto"/>
        <w:rPr>
          <w:sz w:val="20"/>
          <w:szCs w:val="20"/>
          <w:color w:val="auto"/>
        </w:rPr>
      </w:pPr>
      <w:r>
        <w:rPr>
          <w:rFonts w:ascii="Times New Roman" w:cs="Times New Roman" w:eastAsia="Times New Roman" w:hAnsi="Times New Roman"/>
          <w:sz w:val="18"/>
          <w:szCs w:val="18"/>
          <w:color w:val="auto"/>
        </w:rPr>
        <w:t>In addition to our product candidates that are in clinical development, we believe it is important to continue substantial investment in potential new product candidates to build the value of our product candidate pipeline and our business.</w:t>
      </w:r>
    </w:p>
    <w:p>
      <w:pPr>
        <w:spacing w:after="0" w:line="176" w:lineRule="exact"/>
        <w:rPr>
          <w:sz w:val="20"/>
          <w:szCs w:val="20"/>
          <w:color w:val="auto"/>
        </w:rPr>
      </w:pPr>
    </w:p>
    <w:p>
      <w:pPr>
        <w:ind w:left="60" w:right="379" w:firstLine="648"/>
        <w:spacing w:after="0" w:line="312" w:lineRule="auto"/>
        <w:rPr>
          <w:sz w:val="20"/>
          <w:szCs w:val="20"/>
          <w:color w:val="auto"/>
        </w:rPr>
      </w:pPr>
      <w:r>
        <w:rPr>
          <w:rFonts w:ascii="Times New Roman" w:cs="Times New Roman" w:eastAsia="Times New Roman" w:hAnsi="Times New Roman"/>
          <w:sz w:val="17"/>
          <w:szCs w:val="17"/>
          <w:color w:val="auto"/>
        </w:rPr>
        <w:t>Our expenditures on current and future preclinical and clinical development programs are subject to numerous uncertainties related to timing and cost to completion. The duration, costs and timing of clinical trials and development</w:t>
      </w:r>
    </w:p>
    <w:p>
      <w:pPr>
        <w:sectPr>
          <w:pgSz w:w="11900" w:h="16838" w:orient="portrait"/>
          <w:cols w:equalWidth="0" w:num="1">
            <w:col w:w="9019"/>
          </w:cols>
          <w:pgMar w:left="1440" w:top="607"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179"/>
        <w:spacing w:after="0" w:line="252" w:lineRule="auto"/>
        <w:rPr>
          <w:sz w:val="20"/>
          <w:szCs w:val="20"/>
          <w:color w:val="auto"/>
        </w:rPr>
      </w:pPr>
      <w:r>
        <w:rPr>
          <w:rFonts w:ascii="Times New Roman" w:cs="Times New Roman" w:eastAsia="Times New Roman" w:hAnsi="Times New Roman"/>
          <w:sz w:val="18"/>
          <w:szCs w:val="18"/>
          <w:color w:val="auto"/>
        </w:rPr>
        <w:t>of product candidates will depend on a variety of factors, including many of which are beyond our control. The process of conducting the necessary clinical research to obtain regulatory approval is costly and time consuming, and the successful development of our product candidates is uncertain. The risks and uncertainties associated with our research and development projects are discussed more fully in “Part II, Item 1A—Risk Factors.” As a result of these risks and uncertainties, we are unable to determine with any degree of certainty the duration and completion costs of our research and development projects or if, when or to what extent we will generate revenues from the commercialization and sale of any of our product candidates that obtain regulatory approval. We may never succeed in achieving regulatory approval for any of our product candidates.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left="60" w:right="539" w:firstLine="648"/>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include personnel costs, expenses for outside professional services and allocated expenses. Personnel costs consist of salaries, benefits and stock-based compensation. Outside professional services consist of legal, accounting and audit services and other consulting fees. Allocated expenses consist of rent expense related to our office and research and development facility.</w:t>
      </w:r>
    </w:p>
    <w:p>
      <w:pPr>
        <w:spacing w:after="0" w:line="187" w:lineRule="exact"/>
        <w:rPr>
          <w:sz w:val="20"/>
          <w:szCs w:val="20"/>
          <w:color w:val="auto"/>
        </w:rPr>
      </w:pPr>
    </w:p>
    <w:p>
      <w:pPr>
        <w:jc w:val="both"/>
        <w:ind w:left="60" w:right="79" w:firstLine="648"/>
        <w:spacing w:after="0" w:line="312" w:lineRule="auto"/>
        <w:rPr>
          <w:sz w:val="20"/>
          <w:szCs w:val="20"/>
          <w:color w:val="auto"/>
        </w:rPr>
      </w:pPr>
      <w:r>
        <w:rPr>
          <w:rFonts w:ascii="Times New Roman" w:cs="Times New Roman" w:eastAsia="Times New Roman" w:hAnsi="Times New Roman"/>
          <w:sz w:val="17"/>
          <w:szCs w:val="17"/>
          <w:color w:val="auto"/>
        </w:rPr>
        <w:t>We expect that our general and administrative expenses will increase in the future as we increase our headcount to support our continued research and development and potential commercialization of one or more of our product candidates.</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Comparison of the periods below as indicated (in thousands)</w:t>
      </w:r>
      <w:r>
        <w:rPr>
          <w:rFonts w:ascii="Times New Roman" w:cs="Times New Roman" w:eastAsia="Times New Roman" w:hAnsi="Times New Roman"/>
          <w:sz w:val="18"/>
          <w:szCs w:val="18"/>
          <w:color w:val="auto"/>
        </w:rPr>
        <w:t>:</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47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7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4"/>
        </w:trPr>
        <w:tc>
          <w:tcPr>
            <w:tcW w:w="47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4,594</w:t>
            </w:r>
          </w:p>
        </w:tc>
        <w:tc>
          <w:tcPr>
            <w:tcW w:w="1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6,574</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and other expense, net</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Sublease income - related party</w:t>
            </w:r>
          </w:p>
        </w:tc>
        <w:tc>
          <w:tcPr>
            <w:tcW w:w="1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Loss before equity method investment</w:t>
            </w:r>
          </w:p>
        </w:tc>
        <w:tc>
          <w:tcPr>
            <w:tcW w:w="14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(6,142)</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equity method investment</w:t>
            </w:r>
          </w:p>
        </w:tc>
        <w:tc>
          <w:tcPr>
            <w:tcW w:w="1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(5,701)</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(7,873)</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left="60" w:right="539"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March 31, 2024 and 2023 consisted of the following costs by program as well as unallocated employee costs and overhead costs (specific program costs consist solely of external costs) (in thousands):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6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4"/>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6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4"/>
        </w:trPr>
        <w:tc>
          <w:tcPr>
            <w:tcW w:w="46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Soquelitinib</w:t>
            </w:r>
          </w:p>
        </w:tc>
        <w:tc>
          <w:tcPr>
            <w:tcW w:w="1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Ciforadenant</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Mupadolimab</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Unallocated employee and overhead costs</w:t>
            </w:r>
          </w:p>
        </w:tc>
        <w:tc>
          <w:tcPr>
            <w:tcW w:w="16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2,459</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4,075</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2024, the decrease in soquelitinib costs of $0.3 million as compared to the three months ended March 31, 2023, primarily consisted of a decrease of $0.8 million in drug manufacturing costs and a decrease of $0.1 million in clinical trial expenses, which were partially offset by an increase of $0.6 million in other outside service costs.</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For the three months ended March 31, 2024, the decrease in ciforadenant and mupadolimab costs were negligible.</w:t>
      </w:r>
    </w:p>
    <w:p>
      <w:pPr>
        <w:spacing w:after="0" w:line="225"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the decrease in unallocated costs of $0.2 million as compared to the three months ended March 31, 2023, primarily consisted of a decrease in other outside service costs.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the increase in general and administrative expenses of $0.2 million as compared to the three months ended March 31, 2023, primarily consisted of an increase in personnel and related costs.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Income and Other Expense, net</w:t>
      </w:r>
    </w:p>
    <w:p>
      <w:pPr>
        <w:spacing w:after="0" w:line="227" w:lineRule="exact"/>
        <w:rPr>
          <w:sz w:val="20"/>
          <w:szCs w:val="20"/>
          <w:color w:val="auto"/>
        </w:rPr>
      </w:pPr>
    </w:p>
    <w:p>
      <w:pPr>
        <w:jc w:val="both"/>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2024, the decrease in interest income and other expense, net of $0.1 million as compared to the three months ended March 31, 2023, primarily consisted of a decrease in interest income earned due to a decrease in cash equivalents and marketable securities.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Sublease Income – Related Party</w:t>
      </w:r>
    </w:p>
    <w:p>
      <w:pPr>
        <w:spacing w:after="0" w:line="227"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the decrease in sublease income of $0.1 million as compared to the three months ended March 31, 2023, was due to the expiration of the building sublease agreement with Angel Pharmaceuticals in January 2023.</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(loss) from equity method investment</w:t>
      </w:r>
    </w:p>
    <w:p>
      <w:pPr>
        <w:spacing w:after="0" w:line="227" w:lineRule="exact"/>
        <w:rPr>
          <w:sz w:val="20"/>
          <w:szCs w:val="20"/>
          <w:color w:val="auto"/>
        </w:rPr>
      </w:pPr>
    </w:p>
    <w:p>
      <w:pPr>
        <w:jc w:val="both"/>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2024, the decrease in loss from equity method investment of $2.0 million as compared to the three months ended March 31, 2023, primarily consisted of a decrease in Angel Pharmaceuticals’ loss for the three months ended March 31, 2024.</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0" w:right="299" w:firstLine="648"/>
        <w:spacing w:after="0" w:line="261" w:lineRule="auto"/>
        <w:rPr>
          <w:sz w:val="20"/>
          <w:szCs w:val="20"/>
          <w:color w:val="auto"/>
        </w:rPr>
      </w:pPr>
      <w:r>
        <w:rPr>
          <w:rFonts w:ascii="Times New Roman" w:cs="Times New Roman" w:eastAsia="Times New Roman" w:hAnsi="Times New Roman"/>
          <w:sz w:val="18"/>
          <w:szCs w:val="18"/>
          <w:color w:val="auto"/>
        </w:rPr>
        <w:t>As of March 31, 2024, we had cash, cash equivalents and marketable securities of $22.1 million, and an accumulated deficit of $340.4 million, compared to cash and cash equivalents and marketable securities of $27.1 million and an accumulated deficit of $334.7 million as of December 31, 2023. On May 6, 2024, we closed a registered direct offering which resulted in gross proceeds of approximately $30.6 million.</w:t>
      </w:r>
    </w:p>
    <w:p>
      <w:pPr>
        <w:spacing w:after="0" w:line="166"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Since our inception and through March 31, 2024, we have funded our operations primarily through the sale and issuance of preferred and common stock, including through our IPO in March 2016, in which we raised net proceeds of approximately $70.6 million, a follow-on offering of our common stock in March 2018, in which we raised net proceeds of approximately $64.9 million and a follow on offering in February 2021, in which we raised net proceeds of approximately $32.0 million, in each case net of underwriting discounts and commissions and offering expenses.</w:t>
      </w:r>
    </w:p>
    <w:p>
      <w:pPr>
        <w:spacing w:after="0" w:line="183" w:lineRule="exact"/>
        <w:rPr>
          <w:sz w:val="20"/>
          <w:szCs w:val="20"/>
          <w:color w:val="auto"/>
        </w:rPr>
      </w:pPr>
    </w:p>
    <w:p>
      <w:pPr>
        <w:ind w:left="60" w:right="419" w:firstLine="648"/>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2024, we did not sell any shares of common stock under our at-the-market offering program. As of March 31, 2024, $81.9 million remained available for sale under the 2023 Sales Agreement.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Since our inception, we have incurred significant losses and negative cash flows from operations. We have an accumulated deficit of $340.4 million through March 31, 2024. We do not expect positive cash flows from operations in the foreseeable future, if ever. Historically, we have incurred operating losses as a result of ongoing efforts to develop our product candidates, including conducting ongoing research and development, clinical and preclinical studies and providing general and administrative support for these operations. We do not have any products approved for sale, and we do not expect to generate any meaningful revenue unless and until we obtain regulatory approval of and commercialize any of our current and future product candidates and/or enter into additional significant collaboration agreements with third parties, and we do not know when, or if, either will occur. We expect to continue to incur net operating losses for at least the next several years and we expect the losses to increase as we advance our soquelitinib, ciforadenant and mupadolimab product candidates, as well as any future product candidates, through clinical development, seek regulatory approval, prepare for and, if approved, proceed to commercialization and continue our research and development efforts. We are subject to all the risks typically related to the development of new product candidates, and we may encounter unforeseen expenses, difficulties, complications, delays and other unknown factors that may adversely affect our business. We do not yet have a sales organization or commercial infrastructure and, accordingly, we will need to incur significant expenses to develop a sales organization and commercial infrastructure in advance of generating any commercial product sales. Moreover, we incur substantial costs associated with operating as a public company. We anticipate that we will need substantial additional funding in connection with our continuing operations.</w:t>
      </w:r>
    </w:p>
    <w:p>
      <w:pPr>
        <w:spacing w:after="0" w:line="196" w:lineRule="exact"/>
        <w:rPr>
          <w:sz w:val="20"/>
          <w:szCs w:val="20"/>
          <w:color w:val="auto"/>
        </w:rPr>
      </w:pPr>
    </w:p>
    <w:p>
      <w:pPr>
        <w:ind w:left="60" w:right="59" w:firstLine="648"/>
        <w:spacing w:after="0" w:line="250" w:lineRule="auto"/>
        <w:rPr>
          <w:sz w:val="20"/>
          <w:szCs w:val="20"/>
          <w:color w:val="auto"/>
        </w:rPr>
      </w:pPr>
      <w:r>
        <w:rPr>
          <w:rFonts w:ascii="Times New Roman" w:cs="Times New Roman" w:eastAsia="Times New Roman" w:hAnsi="Times New Roman"/>
          <w:sz w:val="18"/>
          <w:szCs w:val="18"/>
          <w:color w:val="auto"/>
        </w:rPr>
        <w:t>Until we can generate a sufficient amount of revenue from the commercialization of our product candidates or from additional significant collaboration or license agreements with third parties, if ever, we expect to finance our future cash needs through private and public equity offerings, including our “at-the-market” offering program, debt financings, and potential future collaboration, license and development agreements. Adequate funding may not be available to us on acceptable terms, or at all. If we are unable to raise additional capital in sufficient amounts or on terms acceptable to us, we will be required to significantly reduce our operating expenses and may have to significantly delay, scale back or discontinue the development of one or more of our current or future product candidates. If we raise additional funds by issuing equity or convertible debt securities, it could result in dilution to our existing stockholders and increased fixed payment obligations. In addition, as a condition to providing additional funds to us, future investors may demand, and may be granted, rights superior to those of existing stockholders. If we incur indebtedness, we could become subject to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Additionally, any future collaborations we enter into with third parties may provide capital in the near term, but we may have to relinquish valuable rights to our product candidates or grant licenses on terms that are not favorable to us. Any of the foregoing could significantly harm our business, financial condition and prospects.</w:t>
      </w:r>
    </w:p>
    <w:p>
      <w:pPr>
        <w:spacing w:after="0" w:line="195" w:lineRule="exact"/>
        <w:rPr>
          <w:sz w:val="20"/>
          <w:szCs w:val="20"/>
          <w:color w:val="auto"/>
        </w:rPr>
      </w:pPr>
    </w:p>
    <w:p>
      <w:pPr>
        <w:ind w:left="60" w:right="99" w:firstLine="648"/>
        <w:spacing w:after="0" w:line="272" w:lineRule="auto"/>
        <w:rPr>
          <w:sz w:val="20"/>
          <w:szCs w:val="20"/>
          <w:color w:val="auto"/>
        </w:rPr>
      </w:pPr>
      <w:r>
        <w:rPr>
          <w:rFonts w:ascii="Times New Roman" w:cs="Times New Roman" w:eastAsia="Times New Roman" w:hAnsi="Times New Roman"/>
          <w:sz w:val="17"/>
          <w:szCs w:val="17"/>
          <w:color w:val="auto"/>
        </w:rPr>
        <w:t>We expect to incur substantial additional losses in the future as we conduct our planned research and development activities. We believe that our existing cash, cash equivalents and marketable securities and the proceeds from our recent financing will be sufficient to enable us to advance our programs into the fourth quarter of 2025. However, our forecast of the period of time through which our financial resources will be adequate to support our operations is a forward-looking statement that involves risks and uncertainties, and actual results could vary materially based on a number of factors.</w:t>
      </w:r>
    </w:p>
    <w:p>
      <w:pPr>
        <w:spacing w:after="0" w:line="175" w:lineRule="exact"/>
        <w:rPr>
          <w:sz w:val="20"/>
          <w:szCs w:val="20"/>
          <w:color w:val="auto"/>
        </w:rPr>
      </w:pPr>
    </w:p>
    <w:p>
      <w:pPr>
        <w:ind w:left="60" w:right="159" w:firstLine="648"/>
        <w:spacing w:after="0" w:line="281" w:lineRule="auto"/>
        <w:rPr>
          <w:sz w:val="20"/>
          <w:szCs w:val="20"/>
          <w:color w:val="auto"/>
        </w:rPr>
      </w:pPr>
      <w:r>
        <w:rPr>
          <w:rFonts w:ascii="Times New Roman" w:cs="Times New Roman" w:eastAsia="Times New Roman" w:hAnsi="Times New Roman"/>
          <w:sz w:val="17"/>
          <w:szCs w:val="17"/>
          <w:color w:val="auto"/>
        </w:rPr>
        <w:t>We have based our projections of operating capital requirements on assumptions that may prove to be incorrect and we may use all our available capital resources sooner than we expect. Because of the numerous risks and uncertainties associated with research, development and commercialization of product candidates, we are unable to estimate the exact amount of our operating capital requirements. Our future capital requirements depend on many factors, including:</w:t>
      </w:r>
    </w:p>
    <w:p>
      <w:pPr>
        <w:spacing w:after="0" w:line="151" w:lineRule="exact"/>
        <w:rPr>
          <w:sz w:val="20"/>
          <w:szCs w:val="20"/>
          <w:color w:val="auto"/>
        </w:rPr>
      </w:pPr>
    </w:p>
    <w:p>
      <w:pPr>
        <w:ind w:left="1040" w:right="239" w:hanging="315"/>
        <w:spacing w:after="0" w:line="266"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costs and results of clinical trials for soquelitinib, including the potential registrational clinical trial for soquelitinib, and to a lesser extent, the timing, costs and results of the clinical trials for ciforadenant and mupadolimab;</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040" w:right="179" w:hanging="315"/>
        <w:spacing w:after="0" w:line="282"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costs and results of preclinical and clinical development activities for our other product candidates;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prosecuting, maintaining and enforcing patent and other intellectual property rights;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regulatory approvals;</w:t>
      </w:r>
    </w:p>
    <w:p>
      <w:pPr>
        <w:spacing w:after="0" w:line="225" w:lineRule="exact"/>
        <w:rPr>
          <w:rFonts w:ascii="Times New Roman" w:cs="Times New Roman" w:eastAsia="Times New Roman" w:hAnsi="Times New Roman"/>
          <w:sz w:val="18"/>
          <w:szCs w:val="18"/>
          <w:color w:val="auto"/>
        </w:rPr>
      </w:pPr>
    </w:p>
    <w:p>
      <w:pPr>
        <w:ind w:left="1040" w:right="499" w:hanging="315"/>
        <w:spacing w:after="0" w:line="282"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systems and hire additional personnel, including personnel to support development of our product candidates and satisfy our obligations as a public company; and</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described in the section of this report entitled “Risk Factors.”</w:t>
      </w: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Summary of Statement of Cash Flows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6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5"/>
        </w:trPr>
        <w:tc>
          <w:tcPr>
            <w:tcW w:w="6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74"/>
        </w:trPr>
        <w:tc>
          <w:tcPr>
            <w:tcW w:w="67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5"/>
                <w:szCs w:val="15"/>
                <w:color w:val="auto"/>
              </w:rPr>
            </w:pP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activities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(5,157)</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(8,111)</w:t>
            </w:r>
          </w:p>
        </w:tc>
      </w:tr>
      <w:tr>
        <w:trPr>
          <w:trHeight w:val="216"/>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Investing activities</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4,602</w:t>
            </w:r>
          </w:p>
        </w:tc>
        <w:tc>
          <w:tcPr>
            <w:tcW w:w="140" w:type="dxa"/>
            <w:vAlign w:val="bottom"/>
            <w:shd w:val="clear" w:color="auto" w:fill="CCEEFF"/>
          </w:tcPr>
          <w:p>
            <w:pPr>
              <w:spacing w:after="0"/>
              <w:rPr>
                <w:sz w:val="18"/>
                <w:szCs w:val="18"/>
                <w:color w:val="auto"/>
              </w:rPr>
            </w:pPr>
          </w:p>
        </w:tc>
      </w:tr>
      <w:tr>
        <w:trPr>
          <w:trHeight w:val="216"/>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Financing activities</w:t>
            </w:r>
          </w:p>
        </w:tc>
        <w:tc>
          <w:tcPr>
            <w:tcW w:w="2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r>
      <w:tr>
        <w:trPr>
          <w:trHeight w:val="210"/>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16"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Cash used in operating activities during the three months ended March 31, 2024 was $5.2 million, which primarily consisted of a net loss of $5.7 million, adjusted by non-cash charges of $0.4 million, that primarily consisted of $0.7 million of stock compensation expense and $0.2 million of income from equity method investment; a decrease of $0.1 million in prepaid and other current assets, an increase of $0.1 million in accounts payable, an increase of $0.1 million in accrued and other current liabilities and a decrease of $0.1 million in operating lease liability net of operating lease right-of-use assets amortization.</w:t>
      </w:r>
    </w:p>
    <w:p>
      <w:pPr>
        <w:spacing w:after="0" w:line="174"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Cash used in operating activities during the three months ended March 31, 2023 was $8.1 million, which primarily consisted of a net loss of $7.9 million, adjusted by non-cash charges of $2.0 million, that primarily consisted of $0.5 million of stock compensation expense and $1.7 million of loss from equity method investment, a decrease of $0.1 million in prepaid and other current assets, a decrease of $0.6 million in accounts payable and a decrease of $1.9 million in accrued and other current liabilities.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16"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net cash flows from investing activities was negligible and primarily consisted of proceeds from maturities of marketable securities of $4.6 million, which were offset by purchases of marketable securities of $4.6 million.</w:t>
      </w:r>
    </w:p>
    <w:p>
      <w:pPr>
        <w:spacing w:after="0" w:line="176" w:lineRule="exact"/>
        <w:rPr>
          <w:sz w:val="20"/>
          <w:szCs w:val="20"/>
          <w:color w:val="auto"/>
        </w:rPr>
      </w:pPr>
    </w:p>
    <w:p>
      <w:pPr>
        <w:jc w:val="both"/>
        <w:ind w:left="60" w:right="319" w:firstLine="648"/>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2023, cash provided by investing activities was $4.6 million, which primarily consisted of proceeds from maturities of marketable securities of $17.7 million, which were partially offset by purchases of marketable securities of $13.1 million.</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During the three months ended March 31, 2024, there were no cash flows from financing activities.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During the three months ended March 31, 2023, the cash provided by financing activities were negligible.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16" w:lineRule="exact"/>
        <w:rPr>
          <w:sz w:val="20"/>
          <w:szCs w:val="20"/>
          <w:color w:val="auto"/>
        </w:rPr>
      </w:pPr>
    </w:p>
    <w:p>
      <w:pPr>
        <w:ind w:left="60" w:right="359" w:firstLine="648"/>
        <w:spacing w:after="0" w:line="312" w:lineRule="auto"/>
        <w:rPr>
          <w:sz w:val="20"/>
          <w:szCs w:val="20"/>
          <w:color w:val="auto"/>
        </w:rPr>
      </w:pPr>
      <w:r>
        <w:rPr>
          <w:rFonts w:ascii="Times New Roman" w:cs="Times New Roman" w:eastAsia="Times New Roman" w:hAnsi="Times New Roman"/>
          <w:sz w:val="17"/>
          <w:szCs w:val="17"/>
          <w:color w:val="auto"/>
        </w:rPr>
        <w:t>There have been no material changes outside the ordinary course of our business to our contractual obligations during the three months ended March 31, 2024, as compared to those disclosed in our Annual Report on Form 10-K.</w:t>
      </w:r>
    </w:p>
    <w:p>
      <w:pPr>
        <w:spacing w:after="0" w:line="136"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We are exposed to market risk related to changes in interest rates. We had cash and cash equivalents and</w:t>
      </w:r>
    </w:p>
    <w:p>
      <w:pPr>
        <w:spacing w:after="0" w:line="16"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marketable securities of $22.1 million as of March 31, 2024 and cash, cash equivalents and marketable securities of $27.1 million as of December 31, 2023, which consisted of bank deposits, money market investments, U.S. Treasury securities and U.S. government agency securities. Such interest-earning instruments carry a degree of interest rate risk; however, historical fluctuations of interest income have not been significant. Due to the short-term duration of our investment portfolio and the low risk profile of our investments, an immediate 10% increase in interest rates would not have a material effect on the fair market value of our portfolio.</w:t>
      </w:r>
    </w:p>
    <w:p>
      <w:pPr>
        <w:spacing w:after="0" w:line="184"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12" w:lineRule="exact"/>
        <w:rPr>
          <w:sz w:val="20"/>
          <w:szCs w:val="20"/>
          <w:color w:val="auto"/>
        </w:rPr>
      </w:pPr>
    </w:p>
    <w:p>
      <w:pPr>
        <w:ind w:left="720" w:hanging="670"/>
        <w:spacing w:after="0"/>
        <w:tabs>
          <w:tab w:leader="none" w:pos="7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The term “disclosure controls and procedures,” as defined in Rules 13a-15(e) and 15d-15(e) under the Securities Exchange Act of 1934, as amended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Due to the inherent limitations of control systems, including the possibility of human error and the circumvention or overriding of the controls and procedures, not all misstatements may be prevented or detected. Our disclosure controls and procedures are designed to provide reasonable assurance of achieving their control objectives.</w:t>
      </w:r>
    </w:p>
    <w:p>
      <w:pPr>
        <w:spacing w:after="0" w:line="194"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As required by Rule 13a-15(b) under the Exchange Act, our management, with the participation of our Chief Executive Officer and Chief Financial Officer, has evaluated the effectiveness of our disclosure controls and procedures as of March 31, 2024 the end of the period covered by this Quarterly Report on Form 10-Q. Based upon such evaluation, our Chief Executive Officer and Chief Financial Officer have concluded that our disclosure controls and procedures were effective at the reasonable assurance level as of such date.</w:t>
      </w:r>
    </w:p>
    <w:p>
      <w:pPr>
        <w:spacing w:after="0" w:line="183" w:lineRule="exact"/>
        <w:rPr>
          <w:sz w:val="20"/>
          <w:szCs w:val="20"/>
          <w:color w:val="auto"/>
        </w:rPr>
      </w:pPr>
    </w:p>
    <w:p>
      <w:pPr>
        <w:ind w:left="720" w:hanging="670"/>
        <w:spacing w:after="0"/>
        <w:tabs>
          <w:tab w:leader="none" w:pos="7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229"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period covered by this Quarterly Report on Form 10-Q that has materially affected, or is reasonably likely to materially affect, our internal control over financial reporting.</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 Legal Proceedings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are not currently a party to any material litigation or legal proceedings.</w:t>
      </w: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 Risk Factors</w:t>
      </w:r>
    </w:p>
    <w:p>
      <w:pPr>
        <w:spacing w:after="0" w:line="22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Our business involves significant risks, some of which are described below. You should consider carefully the risks and uncertainties described below, together with all of the other information in this Quarterly Report on Form 10-Q, including our unaudited condensed consolidated financial statements and related notes included elsewhere in this Quarterly Report on Form 10-Q and “Management’s Discussion and Analysis of Financial Condition and Results of Operations.” If any of the following risks are realized, our business, financial condition, results of operations and prospects could be materially and adversely affected. Additional risks and uncertainties not presently known to us or that we currently deem immaterial may also impair our business operations.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4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Quarterly Report on Form 10-Q and our other filings with the Securities and Exchange Commission (SEC) before making investment decisions regarding our common stock.</w:t>
      </w:r>
    </w:p>
    <w:p>
      <w:pPr>
        <w:spacing w:after="0" w:line="183" w:lineRule="exact"/>
        <w:rPr>
          <w:sz w:val="20"/>
          <w:szCs w:val="20"/>
          <w:color w:val="auto"/>
        </w:rPr>
      </w:pPr>
    </w:p>
    <w:p>
      <w:pPr>
        <w:jc w:val="both"/>
        <w:ind w:left="720" w:right="79" w:hanging="319"/>
        <w:spacing w:after="0" w:line="266"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operating losses since our inception and expect to incur significant losses for the foreseeable future. We may never generate any revenue or become profitable or, if we achieve profitability, we may not be able to sustain it.</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financing to achieve our goals, and a failure to obtain this necessary capital when needed on acceptable terms, or at all, could force us to delay, limit, reduce or terminate our product development, other operations or commercialization efforts.</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are in various stages of development and may fail or suffer delays that materially and adversely affect their commercial viability. If we are unable to advance our product candidates through clinical development, obtain regulatory approval and ultimately commercialize such product candidates, or experience significant delays in doing so, our business will be materially harmed.</w:t>
      </w:r>
    </w:p>
    <w:p>
      <w:pPr>
        <w:spacing w:after="0" w:line="179"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drug development involves a lengthy and expensive process with an uncertain outcome, and the results of preclinical studies and early clinical trials are not necessarily predictive of future results. Any product candidate we or any of our existing or potential future collaborators advance into clinical trials, including soquelitinib, ciforadenant and mupadolimab, may not have favorable results in later clinical trials, if any, or receive regulatory approval.</w:t>
      </w:r>
    </w:p>
    <w:p>
      <w:pPr>
        <w:spacing w:after="0" w:line="183"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termination or suspension of, or delays in the commencement or completion of, our planned clinical trials could result in increased costs to us, delay or limit our ability to generate revenue and adversely affect our commercial prospects.</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are subject to extensive regulation, compliance with which is costly and time consuming, and such regulation may cause unanticipated delays or prevent the receipt of the required approvals to commercialize our product candidates.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720" w:right="79" w:hanging="319"/>
        <w:spacing w:after="0" w:line="266"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conducting and plan to conduct clinical trials for soquelitinib, ciforadenant and mupadolimab, and we and Angel Pharmaceuticals may in the future, conduct additional clinical trials of product candidates at sites outside the United States, and the FDA may not accept data from trials conducted in foreign locations.</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encounter difficulties enrolling subjects in our clinical trials, our clinical development activities could be delayed or otherwise adversely affected.</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serious complications or side effects in connection with use of our product candidates, either in clinical trials or post-approval, could lead to discontinuation of our clinical development programs, refusal of regulatory authorities to approve our product candidates or, post-approval, revocation of marketing authorizations or refusal to approve new indications, which could severely harm our business, prospects, operating results and financial condition.</w:t>
      </w:r>
    </w:p>
    <w:p>
      <w:pPr>
        <w:spacing w:after="0" w:line="18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identify or discover additional product candidates.</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third parties to conduct our clinical trials. If these third parties do not meet our deadlines or otherwise conduct the trials as required, our clinical development programs could be delayed or unsuccessful and we may not be able to obtain regulatory approval for or commercialize our product candidates when expected, or at all.</w:t>
      </w:r>
    </w:p>
    <w:p>
      <w:pPr>
        <w:spacing w:after="0" w:line="179"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some or all aspects of our manufacturing, research and preclinical and clinical testing, and these third parties may not perform satisfactorily.</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third-party manufacturers, may be unable to successfully scale-up manufacturing of our product candidates in sufficient quality and quantity, which would delay or prevent us from developing our product candidates and commercializing approved products, if any.</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commercialize our product candidates or if we experience significant delays in obtaining regulatory approval for, or commercializing, any or all of our product candidates, our business will be materially and adversely affected.</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achieve our projected development goals in the time frames we announce and expect, the commercialization of our products may be delayed and, as a result, our stock price may decline.</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spacing w:after="0" w:line="17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active, liquid and orderly market for our common stock may not be sustained.</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the shares of our common stock could be highly volatile, and investors in our common stock could incur substantial losses.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Financial Condition and Need for Additional Capital</w:t>
      </w:r>
    </w:p>
    <w:p>
      <w:pPr>
        <w:spacing w:after="0" w:line="225" w:lineRule="exact"/>
        <w:rPr>
          <w:sz w:val="20"/>
          <w:szCs w:val="20"/>
          <w:color w:val="auto"/>
        </w:rPr>
      </w:pPr>
    </w:p>
    <w:p>
      <w:pPr>
        <w:ind w:left="60" w:right="1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operating losses since our inception and expect to incur significant losses for the foreseeable future. We may never generate any revenue or become profitable or, if we achieve profitability, we may not be able to sustain it.</w:t>
      </w:r>
    </w:p>
    <w:p>
      <w:pPr>
        <w:spacing w:after="0" w:line="175"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We are a clinical-stage biopharmaceutical company that has never generated revenue from the sale of our product candidates. Biopharmaceutical product development is a highly speculative undertaking and involves a</w:t>
      </w:r>
    </w:p>
    <w:p>
      <w:pPr>
        <w:sectPr>
          <w:pgSz w:w="11900" w:h="16838" w:orient="portrait"/>
          <w:cols w:equalWidth="0" w:num="1">
            <w:col w:w="9019"/>
          </w:cols>
          <w:pgMar w:left="1440" w:top="607" w:right="1440" w:bottom="1440" w:gutter="0" w:footer="0" w:header="0"/>
        </w:sect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substantial degree of risk. To date, we have focused primarily on developing our lead product candidates, soquelitinib, ciforadenant and mupadolimab, and researching additional product candidates. We have incurred significant operating losses since we were founded in January 2014 and have not yet generated any revenue from sales. If our product candidates are not approved, we may never generate any revenue. We incurred a net loss of $27.0 million, $41.3 million and $43.2 million for the years ended December 31, 2023, 2022 and 2021, respectively, and $5.7 million and $7.9 million for the three months ended March 31, 2024 and 2023, respectively. We had an accumulated deficit of $340.4 million as of March 31, 2024. We expect to continue to incur losses for the foreseeable future, and we anticipate these losses will increase as we continue our development of, seek regulatory approval for and, if approved, begin to commercialize soquelitinib, ciforadenant and mupadolimab, and as we develop other product candidates. Even if we achieve profitability in the future, we may not be able to sustain it in subsequent periods. Our prior losses, combined with expected future losses, have had and will continue to have an adverse effect on our stockholders’ equity and results of operations.</w:t>
      </w:r>
    </w:p>
    <w:p>
      <w:pPr>
        <w:spacing w:after="0" w:line="184"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financing to achieve our goals, and a failure to obtain this necessary capital when needed on acceptable terms, or at all, could force us to delay, limit, reduce or terminate our product development, other operations or commercialization efforts.</w:t>
      </w:r>
    </w:p>
    <w:p>
      <w:pPr>
        <w:spacing w:after="0" w:line="161" w:lineRule="exact"/>
        <w:rPr>
          <w:sz w:val="20"/>
          <w:szCs w:val="20"/>
          <w:color w:val="auto"/>
        </w:rPr>
      </w:pPr>
    </w:p>
    <w:p>
      <w:pPr>
        <w:ind w:left="60" w:right="159" w:firstLine="648"/>
        <w:spacing w:after="0" w:line="252" w:lineRule="auto"/>
        <w:rPr>
          <w:sz w:val="20"/>
          <w:szCs w:val="20"/>
          <w:color w:val="auto"/>
        </w:rPr>
      </w:pPr>
      <w:r>
        <w:rPr>
          <w:rFonts w:ascii="Times New Roman" w:cs="Times New Roman" w:eastAsia="Times New Roman" w:hAnsi="Times New Roman"/>
          <w:sz w:val="18"/>
          <w:szCs w:val="18"/>
          <w:color w:val="auto"/>
        </w:rPr>
        <w:t>Since our inception, the majority of our efforts have been focused on the research and development of soquelitinib, ciforadenant and mupadolimab. We believe that we will continue to expend substantial resources for the foreseeable future as we continue clinical development of, seek regulatory approval for and, if approved, prepare for the commercialization of soquelitinib, ciforadenant, and mupadolimab, as well as product candidates under our other development programs. These expenditures will include costs associated with research and development, conducting preclinical studies and clinical trials, obtaining regulatory approvals, manufacturing and supply, sales and marketing and general operations. In addition, other unanticipated costs may arise. Because the outcome of any clinical trial and/or regulatory approval process is highly uncertain, we may not be able to accurately estimate the actual amounts necessary to successfully complete the development, regulatory approval process and commercialization of soquelitinib, ciforadenant and mupadolimab or any other product candidates.</w:t>
      </w:r>
    </w:p>
    <w:p>
      <w:pPr>
        <w:spacing w:after="0" w:line="189" w:lineRule="exact"/>
        <w:rPr>
          <w:sz w:val="20"/>
          <w:szCs w:val="20"/>
          <w:color w:val="auto"/>
        </w:rPr>
      </w:pPr>
    </w:p>
    <w:p>
      <w:pPr>
        <w:jc w:val="both"/>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As of March 31, 2024, we had capital resources consisting of cash, cash equivalents and marketable securities of $22.1 million. On May 6, 2024, we closed a registered direct offering which resulted in gross proceeds of approximately $30.6 million.</w:t>
      </w:r>
    </w:p>
    <w:p>
      <w:pPr>
        <w:spacing w:after="0" w:line="176" w:lineRule="exact"/>
        <w:rPr>
          <w:sz w:val="20"/>
          <w:szCs w:val="20"/>
          <w:color w:val="auto"/>
        </w:rPr>
      </w:pPr>
    </w:p>
    <w:p>
      <w:pPr>
        <w:ind w:left="60" w:right="99" w:firstLine="648"/>
        <w:spacing w:after="0" w:line="249" w:lineRule="auto"/>
        <w:rPr>
          <w:sz w:val="20"/>
          <w:szCs w:val="20"/>
          <w:color w:val="auto"/>
        </w:rPr>
      </w:pPr>
      <w:r>
        <w:rPr>
          <w:rFonts w:ascii="Times New Roman" w:cs="Times New Roman" w:eastAsia="Times New Roman" w:hAnsi="Times New Roman"/>
          <w:sz w:val="18"/>
          <w:szCs w:val="18"/>
          <w:color w:val="auto"/>
        </w:rPr>
        <w:t>Given our planned expenditures for the next year, our cash at March 31, 2024 and the proceeds from our recent financing, we expect that our cash resources will be sufficient to enable us to advance our programs into the fourth quarter of 2025. As a result, unless we receive additional funds from an outside source, we anticipate not being able to fund the completion of our ongoing and planned clinical trials and remaining development of any of soquelitinib, including any potential registration trial for soquelitinib, ciforadenant or mupadolimab. In addition, while Angel Pharmaceuticals has received outside investment of approximately $41.0 million in connection with its formation and licensing of certain of our intellectual property, such cash is not available for our use. Our operating plan may change as a result of many factors, including those described below as well as others currently unknown to us, and we will need to seek additional funds, through public or private equity, and debt financings or other sources, such as strategic collaborations. Such financing would result in dilution to stockholders, imposition of debt covenants and repayment obligations or other restrictions that may affect our business. If we raise additional capital through strategic collaboration agreements, we may have to relinquish valuable rights to our product candidates, including possible future revenue streams. For example, in October 2020 we formed Angel Pharmaceuticals with a group of investors in China to create a new China-based biopharmaceutical company with a mission to bring innovative quality medicines to Chinese patients for treatment of serious diseases including cancer, autoimmune diseases and infectious diseases. We granted Angel Pharmaceuticals a license to rights to develop and commercialize our three clinical-stage candidates – soquelitinib, ciforadenant and mupadolimab – in greater China and Angel obtained global rights to our BTK inhibitor preclinical programs. In addition, additional funding may not be available to us on acceptable terms, or at all, and any additional fundraising efforts may divert our management from their day-to-day activities, which may adversely affect our ability to develop and commercialize our product candidates.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679" w:firstLine="648"/>
        <w:spacing w:after="0" w:line="282" w:lineRule="auto"/>
        <w:rPr>
          <w:sz w:val="20"/>
          <w:szCs w:val="20"/>
          <w:color w:val="auto"/>
        </w:rPr>
      </w:pPr>
      <w:r>
        <w:rPr>
          <w:rFonts w:ascii="Times New Roman" w:cs="Times New Roman" w:eastAsia="Times New Roman" w:hAnsi="Times New Roman"/>
          <w:sz w:val="18"/>
          <w:szCs w:val="18"/>
          <w:color w:val="auto"/>
        </w:rPr>
        <w:t>The amount and timing of any expenditures needed to implement our development and commercialization programs will depend on numerous factors, including, but not limited to:</w:t>
      </w:r>
    </w:p>
    <w:p>
      <w:pPr>
        <w:spacing w:after="0" w:line="162" w:lineRule="exact"/>
        <w:rPr>
          <w:sz w:val="20"/>
          <w:szCs w:val="20"/>
          <w:color w:val="auto"/>
        </w:rPr>
      </w:pPr>
    </w:p>
    <w:p>
      <w:pPr>
        <w:ind w:left="1040" w:right="79" w:hanging="315"/>
        <w:spacing w:after="0" w:line="261"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 number, scope, progress, expansions, results of and timing of our ongoing and planned clinical trials of soquelitinib (including the potential registration trial), ciforadenant and mupadolimab and any of our planned preclinical studies and clinical trials of other product candidates which we are pursuing or may choose to pursue in the future;</w:t>
      </w:r>
    </w:p>
    <w:p>
      <w:pPr>
        <w:spacing w:after="0" w:line="166" w:lineRule="exact"/>
        <w:rPr>
          <w:rFonts w:ascii="Times New Roman" w:cs="Times New Roman" w:eastAsia="Times New Roman" w:hAnsi="Times New Roman"/>
          <w:sz w:val="18"/>
          <w:szCs w:val="18"/>
          <w:color w:val="auto"/>
        </w:rPr>
      </w:pPr>
    </w:p>
    <w:p>
      <w:pPr>
        <w:ind w:left="1040" w:right="179" w:hanging="315"/>
        <w:spacing w:after="0" w:line="261"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for, and the progress, costs and results of, any additional clinical trials of soquelitinib, ciforadenant and mupadolimab or any of our other product candidates we may initiate based on the results of our planned clinical trials or discussions with the FDA or other regulatory agencies, including any additional trials the FDA or other regulatory agencies may require;</w:t>
      </w:r>
    </w:p>
    <w:p>
      <w:pPr>
        <w:spacing w:after="0" w:line="166"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obtaining, maintaining and enforcing our patents and other intellectual property rights;</w:t>
      </w:r>
    </w:p>
    <w:p>
      <w:pPr>
        <w:spacing w:after="0" w:line="225" w:lineRule="exact"/>
        <w:rPr>
          <w:rFonts w:ascii="Times New Roman" w:cs="Times New Roman" w:eastAsia="Times New Roman" w:hAnsi="Times New Roman"/>
          <w:sz w:val="18"/>
          <w:szCs w:val="18"/>
          <w:color w:val="auto"/>
        </w:rPr>
      </w:pPr>
    </w:p>
    <w:p>
      <w:pPr>
        <w:ind w:left="1040" w:right="759" w:hanging="315"/>
        <w:spacing w:after="0" w:line="266"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obtaining or maintaining manufacturing for soquelitinib, ciforadenant and mupadolimab and our other product candidates, including commercial manufacturing if any product candidate is approved;</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establishing sales and marketing capabilities;</w:t>
      </w:r>
    </w:p>
    <w:p>
      <w:pPr>
        <w:spacing w:after="0" w:line="225" w:lineRule="exact"/>
        <w:rPr>
          <w:rFonts w:ascii="Times New Roman" w:cs="Times New Roman" w:eastAsia="Times New Roman" w:hAnsi="Times New Roman"/>
          <w:sz w:val="18"/>
          <w:szCs w:val="18"/>
          <w:color w:val="auto"/>
        </w:rPr>
      </w:pPr>
    </w:p>
    <w:p>
      <w:pPr>
        <w:ind w:left="1040" w:right="139" w:hanging="315"/>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sufficient market acceptance, coverage and reimbursement from third-party payors and adequate market share for our product candidates;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establishing collaborations, license agreements and other partnerships;</w:t>
      </w:r>
    </w:p>
    <w:p>
      <w:pPr>
        <w:spacing w:after="0" w:line="225" w:lineRule="exact"/>
        <w:rPr>
          <w:rFonts w:ascii="Times New Roman" w:cs="Times New Roman" w:eastAsia="Times New Roman" w:hAnsi="Times New Roman"/>
          <w:sz w:val="18"/>
          <w:szCs w:val="18"/>
          <w:color w:val="auto"/>
        </w:rPr>
      </w:pPr>
    </w:p>
    <w:p>
      <w:pPr>
        <w:ind w:left="1040" w:right="179" w:hanging="315"/>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FDA or other regulatory agencies accepts data from any clinical trials of our product candidates conducted by Angel Pharmaceuticals in China;</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any new product candidates that we may develop, in-license or acquire;</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Angel Pharmaceuticals’ ability to develop and commercialize product candidates in China;</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such as rising inflation;</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hire and retain qualified personnel;</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partnering arrangements for development;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being a public company.</w:t>
      </w:r>
    </w:p>
    <w:p>
      <w:pPr>
        <w:spacing w:after="0" w:line="225"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Several of these factors are outside of our control and if we are unable to obtain funding on a timely basis, we will be unable to complete the clinical trials for soquelitinib, ciforadenant and mupadolimab and our other product candidates, and we may be required to significantly curtail some or all of our activities.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the Discovery and Development of Our Product Candidates</w:t>
      </w:r>
    </w:p>
    <w:p>
      <w:pPr>
        <w:spacing w:after="0" w:line="225" w:lineRule="exact"/>
        <w:rPr>
          <w:sz w:val="20"/>
          <w:szCs w:val="20"/>
          <w:color w:val="auto"/>
        </w:rPr>
      </w:pPr>
    </w:p>
    <w:p>
      <w:pPr>
        <w:ind w:left="60" w:right="1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are in various stages of development and may fail or suffer delays that materially and adversely affect their commercial viability. If we are unable to advance our product candidates through clinical development, obtain regulatory approval and ultimately commercialize such product candidates, or experience significant delays in doing so, our business will be materially harmed.</w:t>
      </w:r>
    </w:p>
    <w:p>
      <w:pPr>
        <w:spacing w:after="0" w:line="180"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We have invested a significant portion of our efforts and financial resources in the development of our most advanced product candidates, soquelitinib, ciforadenant and mupadolimab. We have no products on the market and our ability to achieve and sustain profitability depends on obtaining regulatory approvals for and successfully commercializing our product candidates, either alone or with third parties. Before obtaining regulatory approval for the commercial distribution of our product candidates, we or our collaborator must conduct extensive preclinical tests and clinical trials to demonstrate sufficient safety and efficacy of our product candidates in patients.</w:t>
      </w:r>
    </w:p>
    <w:p>
      <w:pPr>
        <w:spacing w:after="0" w:line="189"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As a result, we may not have the financial resources to continue development of, or to modify existing or enter into new collaborations for, a product candidate if we experience any issues that delay or prevent regulatory approval of, or our ability to commercialize, product candidates, including:</w:t>
      </w:r>
    </w:p>
    <w:p>
      <w:pPr>
        <w:spacing w:after="0" w:line="162" w:lineRule="exact"/>
        <w:rPr>
          <w:sz w:val="20"/>
          <w:szCs w:val="20"/>
          <w:color w:val="auto"/>
        </w:rPr>
      </w:pPr>
    </w:p>
    <w:p>
      <w:pPr>
        <w:ind w:left="720" w:right="359" w:hanging="319"/>
        <w:spacing w:after="0" w:line="266"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our clinical trials, the clinical trials of our collaborators, including Angel Pharmaceuticals, or the clinical trials of others for product candidates similar to ours, leading to a decision or requirement to conduct additional preclinical testing or clinical trials or abandon a program;</w:t>
      </w:r>
    </w:p>
    <w:p>
      <w:pPr>
        <w:spacing w:after="0" w:line="175" w:lineRule="exact"/>
        <w:rPr>
          <w:rFonts w:ascii="Times New Roman" w:cs="Times New Roman" w:eastAsia="Times New Roman" w:hAnsi="Times New Roman"/>
          <w:sz w:val="18"/>
          <w:szCs w:val="18"/>
          <w:color w:val="auto"/>
        </w:rPr>
      </w:pPr>
    </w:p>
    <w:p>
      <w:pPr>
        <w:ind w:left="720" w:right="119" w:hanging="319"/>
        <w:spacing w:after="0" w:line="28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product-related side effects experienced by participants in our clinical trials, the clinical trials of our collaborators or by individuals using drugs or therapeutic biologics similar to our product candidates;</w:t>
      </w:r>
    </w:p>
    <w:p>
      <w:pPr>
        <w:spacing w:after="0" w:line="161" w:lineRule="exact"/>
        <w:rPr>
          <w:rFonts w:ascii="Times New Roman" w:cs="Times New Roman" w:eastAsia="Times New Roman" w:hAnsi="Times New Roman"/>
          <w:sz w:val="18"/>
          <w:szCs w:val="18"/>
          <w:color w:val="auto"/>
        </w:rPr>
      </w:pPr>
    </w:p>
    <w:p>
      <w:pPr>
        <w:ind w:left="720" w:right="479" w:hanging="319"/>
        <w:spacing w:after="0" w:line="266"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submitting Investigational New Drug Applications (“INDs”) or comparable foreign applications or delays or failure in obtaining the necessary approvals from regulators to commence a clinical trial, or a suspension or termination of a clinical trial once commenced;</w:t>
      </w:r>
    </w:p>
    <w:p>
      <w:pPr>
        <w:spacing w:after="0" w:line="175" w:lineRule="exact"/>
        <w:rPr>
          <w:rFonts w:ascii="Times New Roman" w:cs="Times New Roman" w:eastAsia="Times New Roman" w:hAnsi="Times New Roman"/>
          <w:sz w:val="18"/>
          <w:szCs w:val="18"/>
          <w:color w:val="auto"/>
        </w:rPr>
      </w:pPr>
    </w:p>
    <w:p>
      <w:pPr>
        <w:ind w:left="720" w:right="319" w:hanging="319"/>
        <w:spacing w:after="0" w:line="28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imposed by the FDA or comparable foreign authorities regarding the scope or design of our clinical trials;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enrolling research subjects in clinical trials;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drop-out rates of research subjects;</w:t>
      </w:r>
    </w:p>
    <w:p>
      <w:pPr>
        <w:spacing w:after="0" w:line="225" w:lineRule="exact"/>
        <w:rPr>
          <w:rFonts w:ascii="Times New Roman" w:cs="Times New Roman" w:eastAsia="Times New Roman" w:hAnsi="Times New Roman"/>
          <w:sz w:val="18"/>
          <w:szCs w:val="18"/>
          <w:color w:val="auto"/>
        </w:rPr>
      </w:pPr>
    </w:p>
    <w:p>
      <w:pPr>
        <w:ind w:left="720" w:right="399" w:hanging="319"/>
        <w:spacing w:after="0" w:line="28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supply or quality of product candidate components or materials or other supplies necessary for the conduct of our clinical trials or the clinical trials of our collaborators;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than anticipated clinical trial costs;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the development, approval or certification of companion diagnostic tests for our product candidates;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FDA or other regulatory agency inspection and review of a clinical trial site;</w:t>
      </w:r>
    </w:p>
    <w:p>
      <w:pPr>
        <w:spacing w:after="0" w:line="225" w:lineRule="exact"/>
        <w:rPr>
          <w:rFonts w:ascii="Times New Roman" w:cs="Times New Roman" w:eastAsia="Times New Roman" w:hAnsi="Times New Roman"/>
          <w:sz w:val="18"/>
          <w:szCs w:val="18"/>
          <w:color w:val="auto"/>
        </w:rPr>
      </w:pPr>
    </w:p>
    <w:p>
      <w:pPr>
        <w:ind w:left="720" w:right="279" w:hanging="319"/>
        <w:spacing w:after="0" w:line="28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third-party contractors or investigators to comply with regulatory requirements or otherwise meet their contractual obligations in a timely manner, or at all;</w:t>
      </w:r>
    </w:p>
    <w:p>
      <w:pPr>
        <w:spacing w:after="0" w:line="161" w:lineRule="exact"/>
        <w:rPr>
          <w:rFonts w:ascii="Times New Roman" w:cs="Times New Roman" w:eastAsia="Times New Roman" w:hAnsi="Times New Roman"/>
          <w:sz w:val="18"/>
          <w:szCs w:val="18"/>
          <w:color w:val="auto"/>
        </w:rPr>
      </w:pPr>
    </w:p>
    <w:p>
      <w:pPr>
        <w:ind w:left="720" w:right="519" w:hanging="319"/>
        <w:spacing w:after="0" w:line="312" w:lineRule="auto"/>
        <w:tabs>
          <w:tab w:leader="none" w:pos="7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and changes in regulatory requirements, policy and guidelines, including the imposition of additional regulatory oversight around clinical testing generally or with respect to our technology in particular; or</w:t>
      </w:r>
    </w:p>
    <w:p>
      <w:pPr>
        <w:spacing w:after="0" w:line="139" w:lineRule="exact"/>
        <w:rPr>
          <w:rFonts w:ascii="Times New Roman" w:cs="Times New Roman" w:eastAsia="Times New Roman" w:hAnsi="Times New Roman"/>
          <w:sz w:val="17"/>
          <w:szCs w:val="17"/>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interpretations of data by the FDA and similar foreign regulatory agencies.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We could find that the product candidates we or our collaborators pursue are not safe or effective. Furthermore, if one or more of our product candidates generally prove to be ineffective, unsafe or commercially unviable, the development of our entire platform and pipeline could be delayed, potentially permanently. Any of these occurrences may materially and adversely affect our business, financial condition, results of operations and prospects.</w:t>
      </w:r>
    </w:p>
    <w:p>
      <w:pPr>
        <w:spacing w:after="0" w:line="180"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Of the large number of drugs in development in the pharmaceutical industry, only a small percentage result in the submission of a New Drug Application (“NDA”) or Biologics License Application (“BLA”) to the FDA or comparable marketing applications to foreign regulatory authorities, and even fewer are approved for commercialization. Furthermore, even if we do receive regulatory approval to market soquelitinib, ciforadenant or mupadolimab, any such approval may be subject to limitations on the indicated uses for which we may market the product. Accordingly, even if we are able to obtain the requisite financing to continue to fund our development programs, we cannot assure our stockholders that soquelitinib, ciforadenant or mupadolimab will be successfully developed or commercialized. If we or any of our existing or potential future collaborators are unable to develop, or obtain regulatory approval for, or, if approved, successfully commercialize soquelitinib, ciforadenant or mupadolimab, we may not be able to generate sufficient revenue to continue our business.</w:t>
      </w:r>
    </w:p>
    <w:p>
      <w:pPr>
        <w:spacing w:after="0" w:line="172"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Clinical drug development involves a lengthy and expensive process with an uncertain outcome, and the results of preclinical studies and early clinical trials are not necessarily predictive of future results. Any product candidate we or any of our existing or potential future collaborators advance into clinical trials, including soquelitinib, ciforadenant and mupadolimab, may not have favorable results in later clinical trials, if any, or receive regulatory approval.</w:t>
      </w:r>
    </w:p>
    <w:p>
      <w:pPr>
        <w:spacing w:after="0" w:line="165" w:lineRule="exact"/>
        <w:rPr>
          <w:sz w:val="20"/>
          <w:szCs w:val="20"/>
          <w:color w:val="auto"/>
        </w:rPr>
      </w:pPr>
    </w:p>
    <w:p>
      <w:pPr>
        <w:ind w:left="60" w:right="119" w:firstLine="648"/>
        <w:spacing w:after="0" w:line="271" w:lineRule="auto"/>
        <w:rPr>
          <w:sz w:val="20"/>
          <w:szCs w:val="20"/>
          <w:color w:val="auto"/>
        </w:rPr>
      </w:pPr>
      <w:r>
        <w:rPr>
          <w:rFonts w:ascii="Times New Roman" w:cs="Times New Roman" w:eastAsia="Times New Roman" w:hAnsi="Times New Roman"/>
          <w:sz w:val="17"/>
          <w:szCs w:val="17"/>
          <w:color w:val="auto"/>
        </w:rPr>
        <w:t>Clinical testing is expensive and can take many years to complete, and its outcome is inherently uncertain. Failure can occur at any time during the clinical trial process. The results of preclinical studies and early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A number of companies in the biopharmaceutical industry have suffered significant setbacks in advanced clinical trials due to lack of efficacy or adverse safety profiles, notwithstanding promising results in earlier trials.</w:t>
      </w:r>
    </w:p>
    <w:p>
      <w:pPr>
        <w:spacing w:after="0" w:line="174" w:lineRule="exact"/>
        <w:rPr>
          <w:sz w:val="20"/>
          <w:szCs w:val="20"/>
          <w:color w:val="auto"/>
        </w:rPr>
      </w:pPr>
    </w:p>
    <w:p>
      <w:pPr>
        <w:jc w:val="both"/>
        <w:ind w:left="60" w:right="519" w:firstLine="648"/>
        <w:spacing w:after="0" w:line="258" w:lineRule="auto"/>
        <w:rPr>
          <w:sz w:val="20"/>
          <w:szCs w:val="20"/>
          <w:color w:val="auto"/>
        </w:rPr>
      </w:pPr>
      <w:r>
        <w:rPr>
          <w:rFonts w:ascii="Times New Roman" w:cs="Times New Roman" w:eastAsia="Times New Roman" w:hAnsi="Times New Roman"/>
          <w:sz w:val="18"/>
          <w:szCs w:val="18"/>
          <w:color w:val="auto"/>
        </w:rPr>
        <w:t>Under our collaboration with Angel Pharmaceuticals, Angel is responsible for the clinical development and commercialization, including all related expenses, of the licensed pipeline programs in greater China, and for the pre-clinical BTK program globally. Angel is enrolling patients in a Phase 1/1b clinical trial with mupadolimab alone and together with pembrolizumab in patients with refractory non-small cell lung cancer and head and neck squamous cell cancers. Such trials will be subject to many of the same risks as our ongoing clinical programs.</w:t>
      </w:r>
    </w:p>
    <w:p>
      <w:pPr>
        <w:spacing w:after="0" w:line="170" w:lineRule="exact"/>
        <w:rPr>
          <w:sz w:val="20"/>
          <w:szCs w:val="20"/>
          <w:color w:val="auto"/>
        </w:rPr>
      </w:pPr>
    </w:p>
    <w:p>
      <w:pPr>
        <w:ind w:left="60" w:right="419" w:firstLine="648"/>
        <w:spacing w:after="0" w:line="261" w:lineRule="auto"/>
        <w:rPr>
          <w:sz w:val="20"/>
          <w:szCs w:val="20"/>
          <w:color w:val="auto"/>
        </w:rPr>
      </w:pPr>
      <w:r>
        <w:rPr>
          <w:rFonts w:ascii="Times New Roman" w:cs="Times New Roman" w:eastAsia="Times New Roman" w:hAnsi="Times New Roman"/>
          <w:sz w:val="18"/>
          <w:szCs w:val="18"/>
          <w:color w:val="auto"/>
        </w:rPr>
        <w:t>We cannot be certain that our ongoing or planned clinical trials or any other future clinical trials will be successful. Any safety concerns observed in any one of our clinical trials in our targeted indications could limit the prospects for regulatory approval of our product candidates in those and other indications, which could have a material adverse effect on our business, financial condition and results of operations.</w:t>
      </w:r>
    </w:p>
    <w:p>
      <w:pPr>
        <w:spacing w:after="0" w:line="180"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In addition, the FDA’s and other regulatory authorities’ policies with respect to clinical trials may change and additional government regulations may be enacted. For instance, the regulatory landscape related to clinical trials in the European Union (“EU”) recently evolved. The EU Clinical Trials Regulation (“CTR”) which was adopted in April 2014 and repeals the EU Clinical Trials Directive, became applicable on January 31, 2022. While the EU Clinical Trials Directive required a separate clinical trial application (“CTA”) to be submitted in each member state in which the clinical trial takes place, to both the competent national health authority and an independent ethics committee,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foresees a three-year transition period. The extent to which ongoing and new clinical trials will be</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governed by the CTR varies. Clinical trials for which an application was submitted (i) prior to January 31, 2022 under the EU Clinical Trials Directive, or (ii) between January 31, 2022 and January 31, 2023 and for which the sponsor has opted for the application of the EU Clinical Trials Directive remain governed by said Directive until January 31, 2025. After this date, all clinical trials (including those which are ongoing) will become subject to the provisions of the CTR. Compliance with the CTR requirements by us, our collaborators and third-party service providers, such as contract research organizations (“CROs”), may impact our developments plans.</w:t>
      </w:r>
    </w:p>
    <w:p>
      <w:pPr>
        <w:spacing w:after="0" w:line="187" w:lineRule="exact"/>
        <w:rPr>
          <w:sz w:val="20"/>
          <w:szCs w:val="20"/>
          <w:color w:val="auto"/>
        </w:rPr>
      </w:pPr>
    </w:p>
    <w:p>
      <w:pPr>
        <w:ind w:left="60" w:right="519" w:firstLine="648"/>
        <w:spacing w:after="0" w:line="266" w:lineRule="auto"/>
        <w:rPr>
          <w:sz w:val="20"/>
          <w:szCs w:val="20"/>
          <w:color w:val="auto"/>
        </w:rPr>
      </w:pPr>
      <w:r>
        <w:rPr>
          <w:rFonts w:ascii="Times New Roman" w:cs="Times New Roman" w:eastAsia="Times New Roman" w:hAnsi="Times New Roman"/>
          <w:sz w:val="18"/>
          <w:szCs w:val="18"/>
          <w:color w:val="auto"/>
        </w:rPr>
        <w:t>If we are slow or unable to adapt to changes in existing requirements or the adoption of new requirements or policies governing clinical trials, our development plans may also be impacted.</w:t>
      </w:r>
    </w:p>
    <w:p>
      <w:pPr>
        <w:spacing w:after="0" w:line="172" w:lineRule="exact"/>
        <w:rPr>
          <w:sz w:val="20"/>
          <w:szCs w:val="20"/>
          <w:color w:val="auto"/>
        </w:rPr>
      </w:pPr>
    </w:p>
    <w:p>
      <w:pPr>
        <w:ind w:left="6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termination or suspension of, or delays in the commencement or completion of, our planned clinical trials could result in increased costs to us, delay or limit our ability to generate revenue and adversely affect our commercial prospects.</w:t>
      </w:r>
    </w:p>
    <w:p>
      <w:pPr>
        <w:spacing w:after="0" w:line="175" w:lineRule="exact"/>
        <w:rPr>
          <w:sz w:val="20"/>
          <w:szCs w:val="20"/>
          <w:color w:val="auto"/>
        </w:rPr>
      </w:pPr>
    </w:p>
    <w:p>
      <w:pPr>
        <w:ind w:left="60" w:right="119" w:firstLine="648"/>
        <w:spacing w:after="0" w:line="250" w:lineRule="auto"/>
        <w:rPr>
          <w:sz w:val="20"/>
          <w:szCs w:val="20"/>
          <w:color w:val="auto"/>
        </w:rPr>
      </w:pPr>
      <w:r>
        <w:rPr>
          <w:rFonts w:ascii="Times New Roman" w:cs="Times New Roman" w:eastAsia="Times New Roman" w:hAnsi="Times New Roman"/>
          <w:sz w:val="18"/>
          <w:szCs w:val="18"/>
          <w:color w:val="auto"/>
        </w:rPr>
        <w:t>Before we can initiate clinical trials in the United States or in foreign countries for any of our product and development candidates, we must submit the results of preclinical testing to the FDA or foreign regulatory authorities along with other information, including information about product candidate chemistry, manufacturing and controls and our proposed clinical trial protocol, as part of an IND or similar application. In addition, we may rely in part on preclinical, clinical and quality data generated by CROs and other third parties for regulatory submissions for our product candidates. If these third parties do not make timely regulatory submissions for our product candidates, it will delay our plans for our clinical trials. If those third parties do not make this data available to us, we will likely have to develop all necessary preclinical and clinical data on our own, which will lead to significant delays and increase development costs of the product candidate. In addition, the FDA or foreign regulatory authorities may require us to conduct additional preclinical testing for any product candidate before it allows us to initiate clinical testing under any IND or similar, which may lead to additional delays and increase the costs of our preclinical development. Delays in the completion of our planned clinical trials for product candidates could significantly affect our product development costs.</w:t>
      </w:r>
    </w:p>
    <w:p>
      <w:pPr>
        <w:spacing w:after="0" w:line="194"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While we initiated several clinical trials, we do not know whether any of our other planned trials, will begin on time in the future or whether any of our trials will be completed on schedule, if at all. The commencement and completion of clinical trials can be delayed for a number of reasons, including delays related to:</w:t>
      </w:r>
    </w:p>
    <w:p>
      <w:pPr>
        <w:spacing w:after="0" w:line="176" w:lineRule="exact"/>
        <w:rPr>
          <w:sz w:val="20"/>
          <w:szCs w:val="20"/>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foreign regulatory authorities failing to grant permission to proceed or placing a clinical trial on hold;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failing to enroll or remain in our trial at the rate we expect;</w:t>
      </w:r>
    </w:p>
    <w:p>
      <w:pPr>
        <w:spacing w:after="0" w:line="225" w:lineRule="exact"/>
        <w:rPr>
          <w:rFonts w:ascii="Times New Roman" w:cs="Times New Roman" w:eastAsia="Times New Roman" w:hAnsi="Times New Roman"/>
          <w:sz w:val="18"/>
          <w:szCs w:val="18"/>
          <w:color w:val="auto"/>
        </w:rPr>
      </w:pPr>
    </w:p>
    <w:p>
      <w:pPr>
        <w:ind w:left="720" w:right="839" w:hanging="319"/>
        <w:spacing w:after="0" w:line="312" w:lineRule="auto"/>
        <w:tabs>
          <w:tab w:leader="none" w:pos="7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subjects choosing an alternative treatment for the indication for which we are developing soquelitinib, ciforadenant and mupadolimab or other product candidates, or participating in competing clinical trials;</w:t>
      </w:r>
    </w:p>
    <w:p>
      <w:pPr>
        <w:spacing w:after="0" w:line="139" w:lineRule="exact"/>
        <w:rPr>
          <w:rFonts w:ascii="Times New Roman" w:cs="Times New Roman" w:eastAsia="Times New Roman" w:hAnsi="Times New Roman"/>
          <w:sz w:val="17"/>
          <w:szCs w:val="17"/>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experiencing severe or unexpected drug-related adverse effects;</w:t>
      </w:r>
    </w:p>
    <w:p>
      <w:pPr>
        <w:spacing w:after="0" w:line="225" w:lineRule="exact"/>
        <w:rPr>
          <w:rFonts w:ascii="Times New Roman" w:cs="Times New Roman" w:eastAsia="Times New Roman" w:hAnsi="Times New Roman"/>
          <w:sz w:val="18"/>
          <w:szCs w:val="18"/>
          <w:color w:val="auto"/>
        </w:rPr>
      </w:pPr>
    </w:p>
    <w:p>
      <w:pPr>
        <w:ind w:left="720" w:right="79" w:hanging="319"/>
        <w:spacing w:after="0" w:line="255"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facility manufacturing soquelitinib, ciforadenant or mupadolimab, any of our other product candidates or any of their components being ordered by the FDA or other regulatory authorities to temporarily or permanently shut down due to violations of good manufacturing practice (“cGMP”) regulations or other applicable requirements, or infections or cross-contaminations of product candidates in the manufacturing process;</w:t>
      </w:r>
    </w:p>
    <w:p>
      <w:pPr>
        <w:spacing w:after="0" w:line="18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our manufacturing process that may be necessary or desired;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or delay in reaching an agreement with CROs and clinical trial sites;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720" w:right="499" w:hanging="319"/>
        <w:spacing w:after="0" w:line="261"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clinical investigators losing the licenses or permits necessary to perform our clinical trials, not performing our clinical trials on our anticipated schedule or consistent with the clinical trial protocol, good clinical practices (“GCP”) or regulatory requirements or other third parties not performing data collection or analysis in a timely or accurate manner;</w:t>
      </w:r>
    </w:p>
    <w:p>
      <w:pPr>
        <w:spacing w:after="0" w:line="166" w:lineRule="exact"/>
        <w:rPr>
          <w:rFonts w:ascii="Times New Roman" w:cs="Times New Roman" w:eastAsia="Times New Roman" w:hAnsi="Times New Roman"/>
          <w:sz w:val="18"/>
          <w:szCs w:val="18"/>
          <w:color w:val="auto"/>
        </w:rPr>
      </w:pPr>
    </w:p>
    <w:p>
      <w:pPr>
        <w:ind w:left="720" w:right="139" w:hanging="319"/>
        <w:spacing w:after="0" w:line="261"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166" w:lineRule="exact"/>
        <w:rPr>
          <w:rFonts w:ascii="Times New Roman" w:cs="Times New Roman" w:eastAsia="Times New Roman" w:hAnsi="Times New Roman"/>
          <w:sz w:val="18"/>
          <w:szCs w:val="18"/>
          <w:color w:val="auto"/>
        </w:rPr>
      </w:pPr>
    </w:p>
    <w:p>
      <w:pPr>
        <w:ind w:left="720" w:right="239" w:hanging="319"/>
        <w:spacing w:after="0" w:line="266"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Institutional Review Boards (“IRBs”) or other reviewing bodies refusing to approve, suspending or terminating the trial at an investigational site, precluding enrollment of additional subjects, or withdrawing its approval of the trial; or</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failing to complete a trial or return for post-treatment follow-up.</w:t>
      </w:r>
    </w:p>
    <w:p>
      <w:pPr>
        <w:spacing w:after="0" w:line="225"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In addition, we could also encounter delays if a clinical trial is suspended or terminated by us, by the IRBs of the institutions in which such trials are being conducted, by the Data Safety Monitoring Board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or other reviewing bodies for reexamination, which may impact the costs, timing or successful completion of a clinical trial.</w:t>
      </w:r>
    </w:p>
    <w:p>
      <w:pPr>
        <w:spacing w:after="0" w:line="189"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See also the risk factor below titled “</w:t>
      </w:r>
      <w:r>
        <w:rPr>
          <w:rFonts w:ascii="Times New Roman" w:cs="Times New Roman" w:eastAsia="Times New Roman" w:hAnsi="Times New Roman"/>
          <w:sz w:val="18"/>
          <w:szCs w:val="18"/>
          <w:i w:val="1"/>
          <w:iCs w:val="1"/>
          <w:color w:val="auto"/>
        </w:rPr>
        <w:t>If we encounter difficulties enrolling subjects in our clinical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trials, our clinical development activities could be delayed or otherwise adversely affected</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60" w:right="259" w:firstLine="648"/>
        <w:spacing w:after="0" w:line="253" w:lineRule="auto"/>
        <w:rPr>
          <w:sz w:val="20"/>
          <w:szCs w:val="20"/>
          <w:color w:val="auto"/>
        </w:rPr>
      </w:pPr>
      <w:r>
        <w:rPr>
          <w:rFonts w:ascii="Times New Roman" w:cs="Times New Roman" w:eastAsia="Times New Roman" w:hAnsi="Times New Roman"/>
          <w:sz w:val="18"/>
          <w:szCs w:val="18"/>
          <w:color w:val="auto"/>
        </w:rPr>
        <w:t>In addition, many of the factors that cause, or lead to, termination or suspension of, or a delay in the commencement or completion of, clinical trials may also ultimately lead to the denial of regulatory approval of a product candidate. For example, if we make manufacturing or formulation changes to our product candidates, we may need to conduct additional studies to bridge our modified product candidates to earlier versions. Further, if one or more clinical trials are delayed, our competitors may be able to bring products to market before we do, and the commercial viability of soquelitinib, ciforadenant and mupadolimab or other product candidates could be significantly reduced. Any of these occurrences may harm our business, financial condition and prospects significantly.</w:t>
      </w:r>
    </w:p>
    <w:p>
      <w:pPr>
        <w:spacing w:after="0" w:line="183" w:lineRule="exact"/>
        <w:rPr>
          <w:sz w:val="20"/>
          <w:szCs w:val="20"/>
          <w:color w:val="auto"/>
        </w:rPr>
      </w:pPr>
    </w:p>
    <w:p>
      <w:pPr>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75"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From time to time, we may publicly disclose interim, top-line or preliminary data from our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once additional data have been received and fully evaluated. Top-line or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spacing w:after="0" w:line="180"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Adverse differences between interim data and final data could significantly harm our business prospects. Further, disclosure of interim data by us or by our competitors could result in volatility in the price of our common stock.</w:t>
      </w:r>
    </w:p>
    <w:p>
      <w:pPr>
        <w:spacing w:after="0" w:line="187"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189" w:lineRule="exact"/>
        <w:rPr>
          <w:sz w:val="20"/>
          <w:szCs w:val="20"/>
          <w:color w:val="auto"/>
        </w:rPr>
      </w:pPr>
    </w:p>
    <w:p>
      <w:pPr>
        <w:ind w:left="60" w:right="379" w:firstLine="648"/>
        <w:spacing w:after="0" w:line="289" w:lineRule="auto"/>
        <w:rPr>
          <w:sz w:val="20"/>
          <w:szCs w:val="20"/>
          <w:color w:val="auto"/>
        </w:rPr>
      </w:pPr>
      <w:r>
        <w:rPr>
          <w:rFonts w:ascii="Times New Roman" w:cs="Times New Roman" w:eastAsia="Times New Roman" w:hAnsi="Times New Roman"/>
          <w:sz w:val="17"/>
          <w:szCs w:val="17"/>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54" w:lineRule="exact"/>
        <w:rPr>
          <w:sz w:val="20"/>
          <w:szCs w:val="20"/>
          <w:color w:val="auto"/>
        </w:rPr>
      </w:pPr>
    </w:p>
    <w:p>
      <w:pPr>
        <w:jc w:val="both"/>
        <w:ind w:left="60" w:right="2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are subject to extensive regulation, compliance with which is costly and time consuming, and such regulation may cause unanticipated delays or prevent the receipt of the required approvals to commercialize our product candidates.</w:t>
      </w:r>
    </w:p>
    <w:p>
      <w:pPr>
        <w:spacing w:after="0" w:line="175" w:lineRule="exact"/>
        <w:rPr>
          <w:sz w:val="20"/>
          <w:szCs w:val="20"/>
          <w:color w:val="auto"/>
        </w:rPr>
      </w:pPr>
    </w:p>
    <w:p>
      <w:pPr>
        <w:ind w:left="60" w:right="179" w:firstLine="648"/>
        <w:spacing w:after="0" w:line="250" w:lineRule="auto"/>
        <w:rPr>
          <w:sz w:val="20"/>
          <w:szCs w:val="20"/>
          <w:color w:val="auto"/>
        </w:rPr>
      </w:pPr>
      <w:r>
        <w:rPr>
          <w:rFonts w:ascii="Times New Roman" w:cs="Times New Roman" w:eastAsia="Times New Roman" w:hAnsi="Times New Roman"/>
          <w:sz w:val="18"/>
          <w:szCs w:val="18"/>
          <w:color w:val="auto"/>
        </w:rPr>
        <w:t>The clinical development, manufacturing, labeling, storage, record-keeping, advertising, promotion, import, export, marketing and distribution of our product candidates are subject to extensive regulation by the FDA in the United States and by comparable authorities in foreign markets. In the United States, we are not permitted to market our product candidates until we receive regulatory approval from the FDA. The process of obtaining regulatory approval is expensive, often takes many years and can vary substantially based upon the type, complexity and novelty of the product candidates involved, as well as the target indications and patient population. Approval policies or regulations may change, and the FDA and comparable authorities have substantial discretion in the drug approval process, including the ability to delay, limit or deny approval of a product candidate for many reasons. Despite the time and expense invested in clinical development of product candidates, regulatory approval is never guaranteed.</w:t>
      </w:r>
    </w:p>
    <w:p>
      <w:pPr>
        <w:spacing w:after="0" w:line="193"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The FDA or comparable foreign regulatory authorities, including in China, can delay, limit or deny approval of a product candidate for many reasons, including:</w:t>
      </w:r>
    </w:p>
    <w:p>
      <w:pPr>
        <w:spacing w:after="0" w:line="162" w:lineRule="exact"/>
        <w:rPr>
          <w:sz w:val="20"/>
          <w:szCs w:val="20"/>
          <w:color w:val="auto"/>
        </w:rPr>
      </w:pPr>
    </w:p>
    <w:p>
      <w:pPr>
        <w:ind w:left="1040" w:right="379" w:hanging="315"/>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with the design or implementation of our or any of our existing or potential future collaborators’ clinical trials;</w:t>
      </w:r>
    </w:p>
    <w:p>
      <w:pPr>
        <w:spacing w:after="0" w:line="161" w:lineRule="exact"/>
        <w:rPr>
          <w:rFonts w:ascii="Times New Roman" w:cs="Times New Roman" w:eastAsia="Times New Roman" w:hAnsi="Times New Roman"/>
          <w:sz w:val="18"/>
          <w:szCs w:val="18"/>
          <w:color w:val="auto"/>
        </w:rPr>
      </w:pPr>
    </w:p>
    <w:p>
      <w:pPr>
        <w:ind w:left="1040" w:right="119" w:hanging="315"/>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existing or potential future collaborators may be unable to demonstrate to the satisfaction of the FDA or other regulatory authorities that a product candidate is safe and effective for any indication;</w:t>
      </w:r>
    </w:p>
    <w:p>
      <w:pPr>
        <w:spacing w:after="0" w:line="161" w:lineRule="exact"/>
        <w:rPr>
          <w:rFonts w:ascii="Times New Roman" w:cs="Times New Roman" w:eastAsia="Times New Roman" w:hAnsi="Times New Roman"/>
          <w:sz w:val="18"/>
          <w:szCs w:val="18"/>
          <w:color w:val="auto"/>
        </w:rPr>
      </w:pPr>
    </w:p>
    <w:p>
      <w:pPr>
        <w:ind w:left="1040" w:right="659" w:hanging="315"/>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accept clinical data from trials which are conducted at clinical facilities or in countries where the standard of care is potentially different from that of the United States;</w:t>
      </w:r>
    </w:p>
    <w:p>
      <w:pPr>
        <w:spacing w:after="0" w:line="161" w:lineRule="exact"/>
        <w:rPr>
          <w:rFonts w:ascii="Times New Roman" w:cs="Times New Roman" w:eastAsia="Times New Roman" w:hAnsi="Times New Roman"/>
          <w:sz w:val="18"/>
          <w:szCs w:val="18"/>
          <w:color w:val="auto"/>
        </w:rPr>
      </w:pPr>
    </w:p>
    <w:p>
      <w:pPr>
        <w:ind w:left="1040" w:right="599" w:hanging="315"/>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existing or potential future collaborators may be unable to demonstrate that a product candidate’s clinical and other benefits outweigh its safety risks;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with our interpretation of data from preclinical studies or clinical trials;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040" w:right="539" w:hanging="315"/>
        <w:spacing w:after="0" w:line="282"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may be granted only for indications that are significantly more limited than what we apply for and/or with other significant restrictions on distribution and use;</w:t>
      </w:r>
    </w:p>
    <w:p>
      <w:pPr>
        <w:spacing w:after="0" w:line="161" w:lineRule="exact"/>
        <w:rPr>
          <w:rFonts w:ascii="Times New Roman" w:cs="Times New Roman" w:eastAsia="Times New Roman" w:hAnsi="Times New Roman"/>
          <w:sz w:val="18"/>
          <w:szCs w:val="18"/>
          <w:color w:val="auto"/>
        </w:rPr>
      </w:pPr>
    </w:p>
    <w:p>
      <w:pPr>
        <w:ind w:left="1040" w:right="159" w:hanging="315"/>
        <w:spacing w:after="0" w:line="266"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find deficiencies in the manufacturing processes or facilities of third-party manufacturers with which we or any of our existing or potential future collaborators contract for clinical and commercial supplies; or</w:t>
      </w:r>
    </w:p>
    <w:p>
      <w:pPr>
        <w:spacing w:after="0" w:line="175" w:lineRule="exact"/>
        <w:rPr>
          <w:rFonts w:ascii="Times New Roman" w:cs="Times New Roman" w:eastAsia="Times New Roman" w:hAnsi="Times New Roman"/>
          <w:sz w:val="18"/>
          <w:szCs w:val="18"/>
          <w:color w:val="auto"/>
        </w:rPr>
      </w:pPr>
    </w:p>
    <w:p>
      <w:pPr>
        <w:ind w:left="1040" w:right="99" w:hanging="315"/>
        <w:spacing w:after="0" w:line="282"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such authorities may significantly change in a manner rendering our or any of our existing or potential future collaborators’ clinical data insufficient for approval.</w:t>
      </w:r>
    </w:p>
    <w:p>
      <w:pPr>
        <w:spacing w:after="0" w:line="162"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With respect to foreign markets, approval procedures vary among countries and, in addition to the foregoing risks, may involve additional product testing, administrative review periods and agreements with pricing authorities. In addition, events raising questions about the safety of certain marketed pharmaceuticals may result in increased cautiousness by the FDA and comparable foreign regulatory authorities, including in China, in reviewing new drugs based on safety, efficacy or other regulatory considerations and may result in significant delays in obtaining regulatory approvals. Any delay in obtaining, or inability to obtain, applicable regulatory approvals would prevent us or any of our existing or potential future collaborators from commercializing our product candidates.</w:t>
      </w:r>
    </w:p>
    <w:p>
      <w:pPr>
        <w:spacing w:after="0" w:line="171" w:lineRule="exact"/>
        <w:rPr>
          <w:sz w:val="20"/>
          <w:szCs w:val="20"/>
          <w:color w:val="auto"/>
        </w:rPr>
      </w:pPr>
    </w:p>
    <w:p>
      <w:pPr>
        <w:ind w:left="60" w:right="3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conducting and plan to conduct clinical trials for soquelitinib, ciforadenant and mupadolimab, and we and Angel Pharmaceuticals may in the future, conduct additional clinical trials of product candidates at sites outside the United States, and the FDA may not accept data from trials conducted in foreign locations.</w:t>
      </w:r>
    </w:p>
    <w:p>
      <w:pPr>
        <w:spacing w:after="0" w:line="175" w:lineRule="exact"/>
        <w:rPr>
          <w:sz w:val="20"/>
          <w:szCs w:val="20"/>
          <w:color w:val="auto"/>
        </w:rPr>
      </w:pPr>
    </w:p>
    <w:p>
      <w:pPr>
        <w:ind w:left="60" w:right="79" w:firstLine="648"/>
        <w:spacing w:after="0" w:line="249" w:lineRule="auto"/>
        <w:rPr>
          <w:sz w:val="20"/>
          <w:szCs w:val="20"/>
          <w:color w:val="auto"/>
        </w:rPr>
      </w:pPr>
      <w:r>
        <w:rPr>
          <w:rFonts w:ascii="Times New Roman" w:cs="Times New Roman" w:eastAsia="Times New Roman" w:hAnsi="Times New Roman"/>
          <w:sz w:val="18"/>
          <w:szCs w:val="18"/>
          <w:color w:val="auto"/>
        </w:rPr>
        <w:t>We are conducting oncology clinical trials with soquelitinib in North America, Australia and South Korea and with ciforadenant in North America in collaboration with the Kidney Cancer Research Consortium. In addition, Angel Pharmaceuticals has initiated clinical trials in China for soquelitinib, mupadolimab and plans to initiate a clinical trial for ciforadenant.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if the trials were not subject to an IND, the FDA will not accept the data as support for an application for marketing approval unless the study is well-designed and well-conducted in accordance with 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such foreign regulatory authority does not accept the data from our or Angel Pharmaceuticals’ clinical trials for soquelitinib, ciforadenant or mupadolimab, or any other product candidates, it would likely result in the need for additional trials, which would be costly and time-consuming and delay or permanently halt our development of soquelitinib, ciforadenant or mupadolimab or any other product candidates.</w:t>
      </w:r>
    </w:p>
    <w:p>
      <w:pPr>
        <w:spacing w:after="0" w:line="198"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encounter difficulties enrolling subjects in our clinical trials, our clinical development activities could be delayed or otherwise adversely affected.</w:t>
      </w:r>
    </w:p>
    <w:p>
      <w:pPr>
        <w:spacing w:after="0" w:line="159"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Subject enrollment, a significant factor in the timing of clinical trials, is affected by many factors including the size and nature of the patient population, the proximity of patients to clinical sites, the eligibility criteria for the trial, the design of the clinical trial, the risk that enrolled patients will not complete a clinical trial, our ability to recruit clinical trial investigators with the appropriate competencies and experience, competing clinical trials and clinicians’ and patients’ perceptions as to the potential advantages of the product candidate being studied in relation to other available therapies, including any new drugs that may be approved for the indications we are investigating. We will be required to</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identify and enroll a sufficient number of subjects for each of our clinical trials. Potential subjects for any planned clinical trials may not be adequately diagnosed or identified with the diseases which we are targeting or may not meet the entry criteria for our studies. We also may encounter difficulties in identifying and enrolling subjects with a stage of disease appropriate for our planned clinical trials. We may not be able to initiate or continue clinical trials if we are unable to locate a sufficient number of eligible subjects to participate in the clinical trials required by the FDA or other foreign regulatory agencies. In addition, the process of finding and diagnosing subjects may prove costly.</w:t>
      </w:r>
    </w:p>
    <w:p>
      <w:pPr>
        <w:spacing w:after="0" w:line="187"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We are continuing to enroll patients with RCC in a Phase 1b/2 clinical trial of ciforadenant in collaboration with the Kidney Cancer Research Consortium. If patients are unwilling to participate in our studies for any reason, including the existence of competitive clinical trials for similar patient populations, the availability of approved therapies or negative perceptions of the safety or efficacy of our product candidates, the timeline for recruiting subjects, conducting studies and obtaining regulatory approval of our product candidates may be delayed. Our inability to enroll a sufficient number of subjects for any of our future clinical trials would result in significant delays or may require us to abandon one or more clinical trials altogether.</w:t>
      </w:r>
    </w:p>
    <w:p>
      <w:pPr>
        <w:spacing w:after="0" w:line="187"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We believe we have appropriately considered the above factors in our trials when determining expected clinical trial timelines, but we cannot assure our stockholders that our assumptions are correct or that we will not experience delays in enrollment, which would result in the delay of completion of such trials beyond our expected timelines.</w:t>
      </w:r>
    </w:p>
    <w:p>
      <w:pPr>
        <w:spacing w:after="0" w:line="179" w:lineRule="exact"/>
        <w:rPr>
          <w:sz w:val="20"/>
          <w:szCs w:val="20"/>
          <w:color w:val="auto"/>
        </w:rPr>
      </w:pPr>
    </w:p>
    <w:p>
      <w:pPr>
        <w:ind w:left="60" w:right="21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occurrence of serious complications or side effects in connection with use of our product candidates, either in clinical trials or post-approval, could lead to discontinuation of our clinical development programs, refusal of regulatory authorities to approve our product candidates or, post-approval, revocation of marketing authorizations or refusal to approve new indications, which could severely harm our business, prospects, operating results and financial condition.</w:t>
      </w:r>
    </w:p>
    <w:p>
      <w:pPr>
        <w:spacing w:after="0" w:line="183"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programs with different dosing regimens and in combination with other immunotherapies, or as use of these product candidates becomes more widespread if they receive regulatory approval, illnesses, injuries, discomforts and other adverse events that were observed in earlier trials, as well as conditions that did not occur or went undetected in previous trials, will be reported by subjects.</w:t>
      </w:r>
    </w:p>
    <w:p>
      <w:pPr>
        <w:spacing w:after="0" w:line="187"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Side effects are often only detectable after investigational products are tested in large-scale, Phase 3 clinical trials or, in some cases, after they are made available to patients on a commercial scale after approval. Results of our current clinical trials and any future clinical trials we undertake could reveal a high and unacceptable severity and prevalence of these or other side effects. In such an event, our trials could be suspended or terminated, and the FDA or comparable foreign regulatory authorities could order us to cease further development of or deny approval of our product candidates for any or all targeted indications.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78" w:lineRule="exact"/>
        <w:rPr>
          <w:sz w:val="20"/>
          <w:szCs w:val="20"/>
          <w:color w:val="auto"/>
        </w:rPr>
      </w:pPr>
    </w:p>
    <w:p>
      <w:pPr>
        <w:jc w:val="both"/>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In addition, if one or more of our product candidates receives marketing approval, and we or others later identify undesirable side effects caused by such products, a number of potentially significant negative consequences could result, including:</w:t>
      </w:r>
    </w:p>
    <w:p>
      <w:pPr>
        <w:spacing w:after="0" w:line="176" w:lineRule="exact"/>
        <w:rPr>
          <w:sz w:val="20"/>
          <w:szCs w:val="20"/>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such product;</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w:t>
      </w:r>
    </w:p>
    <w:p>
      <w:pPr>
        <w:spacing w:after="0" w:line="225" w:lineRule="exact"/>
        <w:rPr>
          <w:rFonts w:ascii="Times New Roman" w:cs="Times New Roman" w:eastAsia="Times New Roman" w:hAnsi="Times New Roman"/>
          <w:sz w:val="18"/>
          <w:szCs w:val="18"/>
          <w:color w:val="auto"/>
        </w:rPr>
      </w:pPr>
    </w:p>
    <w:p>
      <w:pPr>
        <w:ind w:left="1040" w:right="379" w:hanging="315"/>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w:t>
      </w:r>
    </w:p>
    <w:p>
      <w:pPr>
        <w:sectPr>
          <w:pgSz w:w="11900" w:h="16838" w:orient="portrait"/>
          <w:cols w:equalWidth="0" w:num="1">
            <w:col w:w="9019"/>
          </w:cols>
          <w:pgMar w:left="1440" w:top="607"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left="60" w:right="259" w:firstLine="648"/>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or discover additional product candidates.</w:t>
      </w:r>
    </w:p>
    <w:p>
      <w:pPr>
        <w:spacing w:after="0" w:line="229"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The success of our business depends primarily upon our ability to develop and commercialize soquelitinib, ciforadenant and mupadolimab. Although soquelitinib, ciforadenant and mupadolimab are currently in clinical development, our research programs may fail to identify other potential product candidates, or advance them into and through clinical development for a number of reasons. Our research methodology may be unsuccessful in identifying other potential product candidates or our other potential product candidates may be shown to have harmful side effects or may have other characteristics that may make the products unmarketable or unlikely to receive marketing approval. It may also take greater human and financial resources to identify additional therapeutic opportunities for our product candidates or to develop suitable potential product candidates through our research programs than we will possess, thereby limiting our ability to diversify and expand our product candidate portfolio.</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25" w:lineRule="exact"/>
        <w:rPr>
          <w:sz w:val="20"/>
          <w:szCs w:val="20"/>
          <w:color w:val="auto"/>
        </w:rPr>
      </w:pPr>
    </w:p>
    <w:p>
      <w:pPr>
        <w:ind w:left="60" w:right="23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conduct our clinical trials. If these third parties do not meet our deadlines or otherwise conduct the trials as required, our clinical development programs could be delayed or unsuccessful and we may not be able to obtain regulatory approval for or commercialize our product candidates when expected, or at all.</w:t>
      </w:r>
    </w:p>
    <w:p>
      <w:pPr>
        <w:spacing w:after="0" w:line="184" w:lineRule="exact"/>
        <w:rPr>
          <w:sz w:val="20"/>
          <w:szCs w:val="20"/>
          <w:color w:val="auto"/>
        </w:rPr>
      </w:pPr>
    </w:p>
    <w:p>
      <w:pPr>
        <w:ind w:left="60" w:right="119" w:firstLine="648"/>
        <w:spacing w:after="0" w:line="250" w:lineRule="auto"/>
        <w:rPr>
          <w:sz w:val="20"/>
          <w:szCs w:val="20"/>
          <w:color w:val="auto"/>
        </w:rPr>
      </w:pPr>
      <w:r>
        <w:rPr>
          <w:rFonts w:ascii="Times New Roman" w:cs="Times New Roman" w:eastAsia="Times New Roman" w:hAnsi="Times New Roman"/>
          <w:sz w:val="18"/>
          <w:szCs w:val="18"/>
          <w:color w:val="auto"/>
        </w:rPr>
        <w:t>We do not have the ability to conduct all aspects of our preclinical testing or clinical trials ourselves. As a result, we are dependent on third parties to conduct our ongoing and planned clinical trials for soquelitinib, ciforadenant and mupadolimab and expect to continue to be dependent on third parties to conduct any additional future clinical trials of soquelitinib, ciforadenant and mupadolimab and preclinical and clinical trials for our other product candidates. The timing of the initiation and completion of these trials will therefore be controlled by such third parties and may occur at times substantially different from our estimates. Specifically, we use and rely on medical institutions, clinical investigators, CROs and consultants to conduct our trials in accordance with our clinical protocols and regulatory requirements. Such CROs, investigators and other third parties play a significant role in the conduct of these trials and subsequent collection and analysis of data, and we will control only certain aspects of their activities. Nevertheless, we are responsible for ensuring that each of our studies is conducted in accordance with the applicable protocol and legal, regulatory and scientific standards, and our reliance on the CROs and other third parties does not relieve us of our regulatory responsibilities. We and our CROs are required to comply with GCP requirements, which are regulations and guidelines enforced by the FDA, the competent authorities of the EU member states and comparable foreign regulatory authorities for all of our product candidates in clinical development.</w:t>
      </w:r>
    </w:p>
    <w:p>
      <w:pPr>
        <w:spacing w:after="0" w:line="194"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Regulatory authorities enforce these GCPs through periodic inspections of trial sponsors, principal investigators and trial sites. If we or any of our CROs or trial sites fail to comply with applicable GCPs, the clinical data generated in our clinical trials may be deemed unreliable, and the FDA or comparable foreign regulatory authorities may require us to perform additional clinical trials before approving our marketing applications. In addition, our clinical trials must be conducted with product produced under cGMP or similar regulations. Our failure to comply with these regulations may require us to repeat clinical trials, which would delay the regulatory approval process.</w:t>
      </w:r>
    </w:p>
    <w:p>
      <w:pPr>
        <w:spacing w:after="0" w:line="189" w:lineRule="exact"/>
        <w:rPr>
          <w:sz w:val="20"/>
          <w:szCs w:val="20"/>
          <w:color w:val="auto"/>
        </w:rPr>
      </w:pPr>
    </w:p>
    <w:p>
      <w:pPr>
        <w:ind w:left="60" w:right="339" w:firstLine="648"/>
        <w:spacing w:after="0" w:line="261" w:lineRule="auto"/>
        <w:rPr>
          <w:sz w:val="20"/>
          <w:szCs w:val="20"/>
          <w:color w:val="auto"/>
        </w:rPr>
      </w:pPr>
      <w:r>
        <w:rPr>
          <w:rFonts w:ascii="Times New Roman" w:cs="Times New Roman" w:eastAsia="Times New Roman" w:hAnsi="Times New Roman"/>
          <w:sz w:val="18"/>
          <w:szCs w:val="18"/>
          <w:color w:val="auto"/>
        </w:rPr>
        <w:t>There is no guarantee that any such CROs, investigators or other third parties will devote adequate time and resources to such trials or perform as contractually required. If any of these third parties fail to meet expected deadlines, adhere to our clinical protocols or meet regulatory requirements, or otherwise performs in a substandard manner, our clinical trials may be extended, delayed or terminated.</w:t>
      </w:r>
    </w:p>
    <w:p>
      <w:pPr>
        <w:sectPr>
          <w:pgSz w:w="11900" w:h="16838" w:orient="portrait"/>
          <w:cols w:equalWidth="0" w:num="1">
            <w:col w:w="9019"/>
          </w:cols>
          <w:pgMar w:left="1440" w:top="607"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In addition, principal investigators for our clinical trials may serve as scientific advisors or consultants to us from time to time and may receive cash or equity compensation in connection with such services. If these relationships and any related compensation result in perceived or actual conflicts of interest, or the FDA or foreign regulatory authorities conclude that the financial relationship may have affected the interpretation of the study, the integrity of the data generated at the applicable clinical trial site may be questioned and the utility of the clinical trial itself may be jeopardized, which could result in the delay or rejection of any NDA, BLA or other applications we submit by the FDA or foreign regulatory authorities. Any such delay or rejection could prevent us from commercializing soquelitinib, ciforadenant and mupadolimab or our other product candidates.</w:t>
      </w:r>
    </w:p>
    <w:p>
      <w:pPr>
        <w:spacing w:after="0" w:line="188" w:lineRule="exact"/>
        <w:rPr>
          <w:sz w:val="20"/>
          <w:szCs w:val="20"/>
          <w:color w:val="auto"/>
        </w:rPr>
      </w:pPr>
    </w:p>
    <w:p>
      <w:pPr>
        <w:ind w:left="6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some or all aspects of our manufacturing, research and preclinical and clinical testing, and these third parties may not perform satisfactorily.</w:t>
      </w:r>
    </w:p>
    <w:p>
      <w:pPr>
        <w:spacing w:after="0" w:line="159"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We do not expect to independently conduct all aspects of our manufacturing, research and preclinical and clinical testing. We currently rely, and expect to continue to rely, on third parties with respect to these items. If these third parties do not successfully carry out their contractual duties, meet expected deadlines or conduct our studies in accordance with regulatory requirements or our stated study plans and protocols, we may not be able to complete, or may be delayed in completing, the preclinical and clinical studies required to support future IND or other submissions and approval of our product candidates. Furthermore, any of these third parties may terminate its engagement with us at any time. If we need to enter into alternative arrangements, it could delay our product development activities, and we may not be able to negotiate alternative arrangements on commercially reasonable terms, or at all.</w:t>
      </w:r>
    </w:p>
    <w:p>
      <w:pPr>
        <w:spacing w:after="0" w:line="188" w:lineRule="exact"/>
        <w:rPr>
          <w:sz w:val="20"/>
          <w:szCs w:val="20"/>
          <w:color w:val="auto"/>
        </w:rPr>
      </w:pPr>
    </w:p>
    <w:p>
      <w:pPr>
        <w:ind w:left="60" w:right="3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contract manufacturers are subject to significant regulation with respect to manufacturing our products and the contract manufacturers on which we rely may not continue to meet regulatory requirements.</w:t>
      </w:r>
    </w:p>
    <w:p>
      <w:pPr>
        <w:spacing w:after="0" w:line="159"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do not currently have nor do we plan to acquire the infrastructure or internal capability to manufacture our clinical drug supplies for use in the conduct of our trials, and we lack the resources and the capability to manufacture any of our product candidates on a clinical or commercial scale. We currently rely on several different manufacturers who supply different parts of the ciforadenant and soquelitinib molecules, on one manufacturer for mupadolimab drug substance and on other third-party manufacturers to produce our other product candidates.</w:t>
      </w:r>
    </w:p>
    <w:p>
      <w:pPr>
        <w:spacing w:after="0" w:line="187"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All entities involved in the preparation of therapeutics for clinical studies or commercial sale, including our existing contract manufacturers for our product candidates, are subject to extensive regulation. Components of a finished therapeutic product approved for commercial sale or used in late-stage clinical studies must be manufactured in accordance with cGMP requirements.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or our contract manufacturers must supply all necessary documentation in support of an NDA or BLA on a timely basis and must adhere to the FDA’s Good Laboratory Practice regulations and cGMP regulations enforced by the FDA through its facilities inspection program. Our facilities and quality systems and the facilities and quality systems of some or all of our third-party contractors must successfully complete a pre-approval inspection for compliance with the applicable regulations as a condition of regulatory approval of our product candidates or any of our other potential products. In addition, the regulatory authorities may, at any time, audit or inspect our manufacturing facilities or those of our third-party contractors involved with the preparation of our product candidates or the associated quality systems for compliance with the regulations applicable to the activities being conducted. We do not control the manufacturing process of, and are completely dependent on, our contract manufacturing partners for compliance with cGMPs. Similar requirements must be complied with in foreign jurisdictions.</w:t>
      </w:r>
    </w:p>
    <w:p>
      <w:pPr>
        <w:spacing w:after="0" w:line="196"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The regulatory authorities also may, at any time following approval of a product for sale, audit the manufacturing facilities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a third party to implement and that may include the temporary or permanent suspension of a</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239"/>
        <w:spacing w:after="0" w:line="261" w:lineRule="auto"/>
        <w:rPr>
          <w:sz w:val="20"/>
          <w:szCs w:val="20"/>
          <w:color w:val="auto"/>
        </w:rPr>
      </w:pPr>
      <w:r>
        <w:rPr>
          <w:rFonts w:ascii="Times New Roman" w:cs="Times New Roman" w:eastAsia="Times New Roman" w:hAnsi="Times New Roman"/>
          <w:sz w:val="18"/>
          <w:szCs w:val="18"/>
          <w:color w:val="auto"/>
        </w:rPr>
        <w:t>clinical study or commercial sales or the temporary or permanent closure of a facility. Such violations could also result in civil and/or criminal penalties, and the FDA or foreign regulatory authorities may impose regulatory sanctions including, among other things, refusal to approve a pending application for a new drug product or biologic product, revocation of a pre-existing approval or closing one or more manufacturing facilities.</w:t>
      </w:r>
    </w:p>
    <w:p>
      <w:pPr>
        <w:spacing w:after="0" w:line="180"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In addition, if supply from an approved manufacturer is interrupted, there could be a significant disruption in commercial supply. An alternative manufacturer would need to be qualified through an NDA or BLA supplement which could result in further delay. The regulatory agencies may also require additional studies if a new manufacturer is relied upon for commercial production. Changing manufacturers may involve substantial costs and is likely to result in a delay in our desired clinical and commercial timelines.</w:t>
      </w:r>
    </w:p>
    <w:p>
      <w:pPr>
        <w:spacing w:after="0" w:line="183" w:lineRule="exact"/>
        <w:rPr>
          <w:sz w:val="20"/>
          <w:szCs w:val="20"/>
          <w:color w:val="auto"/>
        </w:rPr>
      </w:pPr>
    </w:p>
    <w:p>
      <w:pPr>
        <w:ind w:left="60" w:right="1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or our third-party manufacturers, may be unable to successfully scale-up manufacturing of our product candidates in sufficient quality and quantity, which would delay or prevent us from developing our product candidates and commercializing approved products, if any.</w:t>
      </w:r>
    </w:p>
    <w:p>
      <w:pPr>
        <w:spacing w:after="0" w:line="175"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In order to conduct clinical trials of our product candidates, we will need to manufacture them in large quantities. We, or any manufacturing partners, may be unable to successfully increase the manufacturing capacity for any of our product candidates in a timely or cost-effective manner, or at all. In addition, quality issues may arise during scale-up activities. If we or any manufacturing partners are unable to successfully scale up the manufacture of our product candidates in sufficient quality and quantity, the development, testing and clinical trials of that product candidate may be delayed or become infeasible, and regulatory approval or commercial launch of any resulting product may be delayed or not obtained, which could significantly harm our business.</w:t>
      </w:r>
    </w:p>
    <w:p>
      <w:pPr>
        <w:spacing w:after="0" w:line="187"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In addition, the supply chain for the manufacturing of our product candidates is complicated and can involve several parties. If we were to experience any supply chain issues, our product supply could be seriously disrupted. We expect that the logistical challenges associated with our supply chain will grow more complex as we expand enrollment in our clinical trials for soquelitinib, ciforadenant and mupadolimab and as we commence any clinical trials for additional product candidates.</w:t>
      </w:r>
    </w:p>
    <w:p>
      <w:pPr>
        <w:spacing w:after="0" w:line="183"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159" w:lineRule="exact"/>
        <w:rPr>
          <w:sz w:val="20"/>
          <w:szCs w:val="20"/>
          <w:color w:val="auto"/>
        </w:rPr>
      </w:pPr>
    </w:p>
    <w:p>
      <w:pPr>
        <w:ind w:left="60" w:right="119" w:firstLine="648"/>
        <w:spacing w:after="0" w:line="250" w:lineRule="auto"/>
        <w:rPr>
          <w:sz w:val="20"/>
          <w:szCs w:val="20"/>
          <w:color w:val="auto"/>
        </w:rPr>
      </w:pPr>
      <w:r>
        <w:rPr>
          <w:rFonts w:ascii="Times New Roman" w:cs="Times New Roman" w:eastAsia="Times New Roman" w:hAnsi="Times New Roman"/>
          <w:sz w:val="18"/>
          <w:szCs w:val="18"/>
          <w:color w:val="auto"/>
        </w:rPr>
        <w:t>Because we rely on third parties to research and develop and to manufacture our product candidates, we must share trade secrets with them.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independent discovery of our trade secrets or other unauthorized use or disclosure would impair our competitive position and may have a material adverse effect on our business.</w:t>
      </w:r>
    </w:p>
    <w:p>
      <w:pPr>
        <w:spacing w:after="0" w:line="193"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In addition, these agreements typically restrict the ability of our advisors, employees, third-party contractors and consultants to publish data potentially relating to our trade secrets, although our agreements may contain certain limited publication rights. For example, any academic institution that we may collaborate with in the future will likely expect to be granted rights to publish data arising out of such collaboration. In the future we may also conduct joint research and development programs that may require us to share trade secrets under the terms of our research and development or similar agreements.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Product Candidates</w:t>
      </w:r>
    </w:p>
    <w:p>
      <w:pPr>
        <w:spacing w:after="0" w:line="225" w:lineRule="exact"/>
        <w:rPr>
          <w:sz w:val="20"/>
          <w:szCs w:val="20"/>
          <w:color w:val="auto"/>
        </w:rPr>
      </w:pPr>
    </w:p>
    <w:p>
      <w:pPr>
        <w:ind w:left="60" w:right="1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commercialize our product candidates or if we experience significant delays in obtaining regulatory approval for, or commercializing, any or all of our product candidates, our business will be materially and adversely affected.</w:t>
      </w:r>
    </w:p>
    <w:p>
      <w:pPr>
        <w:spacing w:after="0" w:line="175"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Our ability to generate product revenue will depend heavily on our ability to successfully develop and commercialize our product candidates. We do not expect that such commercialization of any of our product candidates will occur for at least the next several years, if ever. Our ability to commercialize our product candidates effectively will depend on several factors, including the following:</w:t>
      </w:r>
    </w:p>
    <w:p>
      <w:pPr>
        <w:spacing w:after="0" w:line="187" w:lineRule="exact"/>
        <w:rPr>
          <w:sz w:val="20"/>
          <w:szCs w:val="20"/>
          <w:color w:val="auto"/>
        </w:rPr>
      </w:pPr>
    </w:p>
    <w:p>
      <w:pPr>
        <w:ind w:left="1040" w:right="119" w:hanging="315"/>
        <w:spacing w:after="0" w:line="282"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preclinical studies and clinical trials, including the ability to demonstrate safety and efficacy of our product candidates;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complexity of our clinical trial designs;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the FDA and similar foreign regulatory authorities;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by making arrangements with third-party manufacturers;</w:t>
      </w:r>
    </w:p>
    <w:p>
      <w:pPr>
        <w:spacing w:after="0" w:line="225" w:lineRule="exact"/>
        <w:rPr>
          <w:rFonts w:ascii="Times New Roman" w:cs="Times New Roman" w:eastAsia="Times New Roman" w:hAnsi="Times New Roman"/>
          <w:sz w:val="18"/>
          <w:szCs w:val="18"/>
          <w:color w:val="auto"/>
        </w:rPr>
      </w:pPr>
    </w:p>
    <w:p>
      <w:pPr>
        <w:ind w:left="1040" w:right="319" w:hanging="315"/>
        <w:spacing w:after="0" w:line="282"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launching commercial sales of any approved products, whether alone or in collaboration with others;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any approved products by patients, the medical community and third-party payors;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market share while competing with other therapies;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of any approved products;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compliance with post-approval regulation and other requirements; and</w:t>
      </w:r>
    </w:p>
    <w:p>
      <w:pPr>
        <w:spacing w:after="0" w:line="225" w:lineRule="exact"/>
        <w:rPr>
          <w:rFonts w:ascii="Times New Roman" w:cs="Times New Roman" w:eastAsia="Times New Roman" w:hAnsi="Times New Roman"/>
          <w:sz w:val="18"/>
          <w:szCs w:val="18"/>
          <w:color w:val="auto"/>
        </w:rPr>
      </w:pPr>
    </w:p>
    <w:p>
      <w:pPr>
        <w:ind w:left="1040" w:right="179" w:hanging="315"/>
        <w:spacing w:after="0" w:line="282"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qualifying for, identifying, registering, maintaining, enforcing and defending intellectual property rights and claims covering our product candidates.</w:t>
      </w:r>
    </w:p>
    <w:p>
      <w:pPr>
        <w:spacing w:after="0" w:line="162"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If we experience significant delays or an inability to commercialize our product candidates, our business, financial condition and results of operations will be materially adversely affected.</w:t>
      </w:r>
    </w:p>
    <w:p>
      <w:pPr>
        <w:spacing w:after="0" w:line="158" w:lineRule="exact"/>
        <w:rPr>
          <w:sz w:val="20"/>
          <w:szCs w:val="20"/>
          <w:color w:val="auto"/>
        </w:rPr>
      </w:pPr>
    </w:p>
    <w:p>
      <w:pPr>
        <w:ind w:left="60" w:right="1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our projected development goals in the time frames we announce and expect, the commercialization of our products may be delayed and, as a result, our stock price may decline.</w:t>
      </w:r>
    </w:p>
    <w:p>
      <w:pPr>
        <w:spacing w:after="0" w:line="159"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We estimate the timing of the accomplishment of various scientific, clinical, regulatory and other product development goals, which we sometimes refer to as milestones. These milestones may include the commencement or completion of scientific studies and clinical trials and the submission of regulatory filings. From time to time, we may publicly announce the expected timing of some of these milestones. All of these milestones will be based on a variety of assumptions, and the actual timing of these milestones can vary dramatically compared to our estimates, in some cases for reasons beyond our control. If we do not meet these milestones as publicly announced, the commercialization of our products may be delayed and, as a result, our stock price may decline.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approved products could be subject to restrictions or withdrawal from the market, and we may be subject to penalties if we fail to comply with regulatory requirements or if we experience unanticipated problems with our product candidates, when and if any of them are approved.</w:t>
      </w:r>
    </w:p>
    <w:p>
      <w:pPr>
        <w:spacing w:after="0" w:line="175"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Following potential approval of any of our product candidates, the FDA or foreign regulatory authorities may impose significant restrictions on a product’s indicated uses or marketing or impose ongoing requirements for potentially costly and time consuming post-approval studies, post-market surveillance or clinical trials. Following approval, if any, of soquelitinib, ciforadenant and mupadolimab or any other product candidate, such candidate will also be subject to ongoing FDA or foreign regulatory authorities’ requirements governing the labeling, packaging, storage, distribution, safety surveillance, advertising, promotion, recordkeeping and reporting of safety and other post-market information. If we or a regulatory agency discovers previously unknown problems with a product, such as adverse events of unanticipated severity or frequency, or problems with the facility where the product is manufactured, a regulatory agency may impose restrictions on that product, the manufacturing facility or us, including requesting recall or withdrawal of the product from the market or suspension of manufacturing.</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If we or the manufacturing facilities for soquelitinib, ciforadenant and mupadolimab or any other product</w:t>
      </w:r>
    </w:p>
    <w:p>
      <w:pPr>
        <w:spacing w:after="0" w:line="16"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candidate that may receive regulatory approval, if any, fail to comply with applicable regulatory requirements, a regulatory agency may:</w:t>
      </w:r>
    </w:p>
    <w:p>
      <w:pPr>
        <w:spacing w:after="0" w:line="183" w:lineRule="exact"/>
        <w:rPr>
          <w:sz w:val="20"/>
          <w:szCs w:val="20"/>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warning letters or untitled letters;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 injunction or impose civil or criminal penalties or monetary fines;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withdraw regulatory approval;</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ongoing clinical trials;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or supplements or applications filed by us;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impose restrictions on operations, including costly new manufacturing requirements; or</w:t>
      </w:r>
    </w:p>
    <w:p>
      <w:pPr>
        <w:spacing w:after="0" w:line="225" w:lineRule="exact"/>
        <w:rPr>
          <w:rFonts w:ascii="Times New Roman" w:cs="Times New Roman" w:eastAsia="Times New Roman" w:hAnsi="Times New Roman"/>
          <w:sz w:val="18"/>
          <w:szCs w:val="18"/>
          <w:color w:val="auto"/>
        </w:rPr>
      </w:pPr>
    </w:p>
    <w:p>
      <w:pPr>
        <w:ind w:left="1040" w:right="159" w:hanging="315"/>
        <w:spacing w:after="0" w:line="282"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products, refuse to permit the import or export of product or request that we initiate a product recall.</w:t>
      </w:r>
    </w:p>
    <w:p>
      <w:pPr>
        <w:spacing w:after="0" w:line="162" w:lineRule="exact"/>
        <w:rPr>
          <w:sz w:val="20"/>
          <w:szCs w:val="20"/>
          <w:color w:val="auto"/>
        </w:rPr>
      </w:pPr>
    </w:p>
    <w:p>
      <w:pPr>
        <w:ind w:left="60" w:right="459" w:firstLine="648"/>
        <w:spacing w:after="0" w:line="282" w:lineRule="auto"/>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to commercialize our product candidates and generate revenue.</w:t>
      </w:r>
    </w:p>
    <w:p>
      <w:pPr>
        <w:spacing w:after="0" w:line="162"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 FDA has the authority to require a risk evaluation and mitigation strategy (“REMS”) as part of an NDA or BLA or after approval, which may impose further requirements or restrictions on the distribution or use of an approved drug, such as limiting prescribing to certain physicians or medical centers that have undergone specialized training, limiting treatment to patients who meet certain safe-use criteria and requiring treated patients to enroll in a registry. Similar risk exist in foreign jurisdictions.</w:t>
      </w:r>
    </w:p>
    <w:p>
      <w:pPr>
        <w:spacing w:after="0" w:line="187"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In addition, if soquelitinib, ciforadenant and mupadolimab or any of our other product candidates is approved, our product labeling, advertising and promotion will be subject to regulatory requirements and continuing regulatory review. The FDA and foreign regulatory authorities strictly regulate the promotional claims that may be made about prescription products. In particular, a product may not be promoted for uses that are not approved by the FDA or foreign regulatory authorities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become subject to significant liability. The FDA and other agencies actively enforce the laws and regulations prohibiting the promotion of off-label uses, and a company that is found to have improperly promoted off-label uses may be subject to significant sanctions. The federal government has levied large civil and criminal fines against companies for alleged improper promotion and has enjoined several</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companies from engaging in off-label promotion. The FDA has also requested that companies enter into consent decrees or permanent injunctions under which specified promotional conduct is changed or curtailed.</w:t>
      </w:r>
    </w:p>
    <w:p>
      <w:pPr>
        <w:spacing w:after="0" w:line="162"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our product candidates.</w:t>
      </w:r>
    </w:p>
    <w:p>
      <w:pPr>
        <w:spacing w:after="0" w:line="176" w:lineRule="exact"/>
        <w:rPr>
          <w:sz w:val="20"/>
          <w:szCs w:val="20"/>
          <w:color w:val="auto"/>
        </w:rPr>
      </w:pPr>
    </w:p>
    <w:p>
      <w:pPr>
        <w:ind w:left="60" w:right="279" w:firstLine="648"/>
        <w:spacing w:after="0" w:line="282" w:lineRule="auto"/>
        <w:rPr>
          <w:sz w:val="20"/>
          <w:szCs w:val="20"/>
          <w:color w:val="auto"/>
        </w:rPr>
      </w:pPr>
      <w:r>
        <w:rPr>
          <w:rFonts w:ascii="Times New Roman" w:cs="Times New Roman" w:eastAsia="Times New Roman" w:hAnsi="Times New Roman"/>
          <w:sz w:val="18"/>
          <w:szCs w:val="18"/>
          <w:color w:val="auto"/>
        </w:rPr>
        <w:t>Further, the FDA’s and other regulatory authorities’ policies may change and additional government regulations may be enacted that could prevent, limit or delay regulatory approval of our product candidates.</w:t>
      </w:r>
    </w:p>
    <w:p>
      <w:pPr>
        <w:spacing w:after="0" w:line="148" w:lineRule="exact"/>
        <w:rPr>
          <w:sz w:val="20"/>
          <w:szCs w:val="20"/>
          <w:color w:val="auto"/>
        </w:rPr>
      </w:pPr>
    </w:p>
    <w:p>
      <w:pPr>
        <w:ind w:left="60" w:right="339" w:firstLine="648"/>
        <w:spacing w:after="0" w:line="261" w:lineRule="auto"/>
        <w:rPr>
          <w:sz w:val="20"/>
          <w:szCs w:val="20"/>
          <w:color w:val="auto"/>
        </w:rPr>
      </w:pPr>
      <w:r>
        <w:rPr>
          <w:rFonts w:ascii="Times New Roman" w:cs="Times New Roman" w:eastAsia="Times New Roman" w:hAnsi="Times New Roman"/>
          <w:sz w:val="18"/>
          <w:szCs w:val="18"/>
          <w:color w:val="auto"/>
        </w:rPr>
        <w:t>We also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176" w:lineRule="exact"/>
        <w:rPr>
          <w:sz w:val="20"/>
          <w:szCs w:val="20"/>
          <w:color w:val="auto"/>
        </w:rPr>
      </w:pPr>
    </w:p>
    <w:p>
      <w:pPr>
        <w:ind w:left="60" w:right="9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184"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The ability of the FDA and foreign regulatory authorities to review and/or approve new products can be affected by a variety of factors, including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w:t>
      </w:r>
    </w:p>
    <w:p>
      <w:pPr>
        <w:spacing w:after="0" w:line="175"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Disruptions at the FDA and other agencies such as the EMA, following its relocation to Amsterdam and resulting staff changes, may also slow the time necessary for new drugs and biologics or modifications to approved drugs or biologics to be reviewed and/or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w:t>
      </w:r>
    </w:p>
    <w:p>
      <w:pPr>
        <w:spacing w:after="0" w:line="183" w:lineRule="exact"/>
        <w:rPr>
          <w:sz w:val="20"/>
          <w:szCs w:val="20"/>
          <w:color w:val="auto"/>
        </w:rPr>
      </w:pPr>
    </w:p>
    <w:p>
      <w:pPr>
        <w:ind w:left="60" w:right="99" w:firstLine="648"/>
        <w:spacing w:after="0" w:line="272" w:lineRule="auto"/>
        <w:rPr>
          <w:sz w:val="20"/>
          <w:szCs w:val="20"/>
          <w:color w:val="auto"/>
        </w:rPr>
      </w:pPr>
      <w:r>
        <w:rPr>
          <w:rFonts w:ascii="Times New Roman" w:cs="Times New Roman" w:eastAsia="Times New Roman" w:hAnsi="Times New Roman"/>
          <w:sz w:val="17"/>
          <w:szCs w:val="17"/>
          <w:color w:val="auto"/>
        </w:rPr>
        <w:t>In addition, during the COVID-19 pandemic, the FDA experienced administrative delays and postponed most inspections of domestic and foreign manufacturing facilities at various points. If a prolonged government shutdown occurs, or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71" w:lineRule="exact"/>
        <w:rPr>
          <w:sz w:val="20"/>
          <w:szCs w:val="20"/>
          <w:color w:val="auto"/>
        </w:rPr>
      </w:pPr>
    </w:p>
    <w:p>
      <w:pPr>
        <w:jc w:val="both"/>
        <w:ind w:left="60" w:right="11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Even if we receive regulatory approval we still may not be able to successfully commercialize soquelitinib, ciforadenant and mupadolimab or any other product candidate, and the revenue that we generate from sales, if any, could be limited.</w:t>
      </w:r>
    </w:p>
    <w:p>
      <w:pPr>
        <w:spacing w:after="0" w:line="136" w:lineRule="exact"/>
        <w:rPr>
          <w:sz w:val="20"/>
          <w:szCs w:val="20"/>
          <w:color w:val="auto"/>
        </w:rPr>
      </w:pPr>
    </w:p>
    <w:p>
      <w:pPr>
        <w:ind w:left="60" w:right="259" w:firstLine="648"/>
        <w:spacing w:after="0" w:line="258" w:lineRule="auto"/>
        <w:rPr>
          <w:sz w:val="20"/>
          <w:szCs w:val="20"/>
          <w:color w:val="auto"/>
        </w:rPr>
      </w:pPr>
      <w:r>
        <w:rPr>
          <w:rFonts w:ascii="Times New Roman" w:cs="Times New Roman" w:eastAsia="Times New Roman" w:hAnsi="Times New Roman"/>
          <w:sz w:val="18"/>
          <w:szCs w:val="18"/>
          <w:color w:val="auto"/>
        </w:rPr>
        <w:t>Even if soquelitinib, ciforadenant and mupadolimab or any of our other product candidates receive regulatory approval, they may not gain market acceptance among physicians, patients, healthcare payors or the medical community. The degree of market acceptance of our product candidates will depend on a number of factors, including:</w:t>
      </w:r>
    </w:p>
    <w:p>
      <w:pPr>
        <w:spacing w:after="0" w:line="183" w:lineRule="exact"/>
        <w:rPr>
          <w:sz w:val="20"/>
          <w:szCs w:val="20"/>
          <w:color w:val="auto"/>
        </w:rPr>
      </w:pP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demonstration of clinical efficacy and safety compared to other more-established products;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indications for which our product candidates are approved;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040" w:right="419" w:hanging="315"/>
        <w:spacing w:after="0" w:line="282"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 of our targeted patient population and other limitations or warnings contained in any FDA-approved labeling;</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a new formulation by healthcare providers and their patients;</w:t>
      </w:r>
    </w:p>
    <w:p>
      <w:pPr>
        <w:spacing w:after="0" w:line="225" w:lineRule="exact"/>
        <w:rPr>
          <w:rFonts w:ascii="Times New Roman" w:cs="Times New Roman" w:eastAsia="Times New Roman" w:hAnsi="Times New Roman"/>
          <w:sz w:val="18"/>
          <w:szCs w:val="18"/>
          <w:color w:val="auto"/>
        </w:rPr>
      </w:pPr>
    </w:p>
    <w:p>
      <w:pPr>
        <w:ind w:left="1040" w:right="179" w:hanging="315"/>
        <w:spacing w:after="0" w:line="282"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sufficient third-party coverage and reimbursement from government healthcare programs, including Medicare and Medicaid, private health insurers and other third-party payors;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in the absence of third-party coverage and reimbursement;</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adverse effects;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cost-effectiveness;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our product candidates as well as competitive drugs;</w:t>
      </w:r>
    </w:p>
    <w:p>
      <w:pPr>
        <w:spacing w:after="0" w:line="225" w:lineRule="exact"/>
        <w:rPr>
          <w:rFonts w:ascii="Times New Roman" w:cs="Times New Roman" w:eastAsia="Times New Roman" w:hAnsi="Times New Roman"/>
          <w:sz w:val="18"/>
          <w:szCs w:val="18"/>
          <w:color w:val="auto"/>
        </w:rPr>
      </w:pPr>
    </w:p>
    <w:p>
      <w:pPr>
        <w:ind w:left="1040" w:right="839" w:hanging="315"/>
        <w:spacing w:after="0" w:line="282"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or any of our existing or potential future collaborators’ sales and marketing strategies; and</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relating to the product candidate.</w:t>
      </w:r>
    </w:p>
    <w:p>
      <w:pPr>
        <w:spacing w:after="0" w:line="225"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If any product candidate is approved but does not achieve an adequate level of acceptance by physicians, hospitals, healthcare payors or patients, we may not generate sufficient revenue from that product candidate and may not become or remain profitable. Our efforts to educate the medical community and third-party payors regarding the benefits of soquelitinib, ciforadenant and mupadolimab or any of our other product candidates may require significant resources and may never be successful.</w:t>
      </w:r>
    </w:p>
    <w:p>
      <w:pPr>
        <w:spacing w:after="0" w:line="179" w:lineRule="exact"/>
        <w:rPr>
          <w:sz w:val="20"/>
          <w:szCs w:val="20"/>
          <w:color w:val="auto"/>
        </w:rPr>
      </w:pPr>
    </w:p>
    <w:p>
      <w:pPr>
        <w:ind w:left="6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obtain or maintain adequate coverage and reimbursement for our product candidates, if approved, could limit our ability to market those products and decrease our ability to generate revenue.</w:t>
      </w:r>
    </w:p>
    <w:p>
      <w:pPr>
        <w:spacing w:after="0" w:line="145" w:lineRule="exact"/>
        <w:rPr>
          <w:sz w:val="20"/>
          <w:szCs w:val="20"/>
          <w:color w:val="auto"/>
        </w:rPr>
      </w:pPr>
    </w:p>
    <w:p>
      <w:pPr>
        <w:ind w:left="60" w:right="79" w:firstLine="648"/>
        <w:spacing w:after="0" w:line="251" w:lineRule="auto"/>
        <w:rPr>
          <w:sz w:val="20"/>
          <w:szCs w:val="20"/>
          <w:color w:val="auto"/>
        </w:rPr>
      </w:pPr>
      <w:r>
        <w:rPr>
          <w:rFonts w:ascii="Times New Roman" w:cs="Times New Roman" w:eastAsia="Times New Roman" w:hAnsi="Times New Roman"/>
          <w:sz w:val="18"/>
          <w:szCs w:val="18"/>
          <w:color w:val="auto"/>
        </w:rPr>
        <w:t>Successful commercial sales of any approved products will depend on the availability of adequate coverage and reimbursement from government health administration authorities, private health insurers and other third-party payors. Each third-party payor separately decides which products it will cover and establishes the reimbursement level, and there is no guarantee that any of our product candidates that may be approved for marketing by regulatory authorities will receive adequate coverage or reimbursement levels. Obtaining and maintaining coverage approval for a product candidate is time-consuming, costly and may be difficult. We may be required to conduct expensive pharmacoeconomic studies to justify coverage and reimbursement or the level of coverage and reimbursement relative to other therapies. If coverage and adequate reimbursement are not available or limited, we may not be able to successfully commercialize any product candidate for which we obtain marketing approval.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drugs and biologics. Even if we obtain coverage for a given product, the resulting reimbursement rates may be inadequate and may affect the demand for, or the price of, any product candidate for which we obtain marketing approval.</w:t>
      </w:r>
    </w:p>
    <w:p>
      <w:pPr>
        <w:spacing w:after="0" w:line="192" w:lineRule="exact"/>
        <w:rPr>
          <w:sz w:val="20"/>
          <w:szCs w:val="20"/>
          <w:color w:val="auto"/>
        </w:rPr>
      </w:pPr>
    </w:p>
    <w:p>
      <w:pPr>
        <w:ind w:left="60" w:right="1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Recently enacted legislation, future legislation and healthcare reform measures may increase the difficulty and cost for us to obtain marketing approval for and commercialize our product candidates and affect the prices we may obtain.</w:t>
      </w:r>
    </w:p>
    <w:p>
      <w:pPr>
        <w:spacing w:after="0" w:line="171" w:lineRule="exact"/>
        <w:rPr>
          <w:sz w:val="20"/>
          <w:szCs w:val="20"/>
          <w:color w:val="auto"/>
        </w:rPr>
      </w:pPr>
    </w:p>
    <w:p>
      <w:pPr>
        <w:ind w:left="60" w:right="359" w:firstLine="648"/>
        <w:spacing w:after="0" w:line="282"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we expect there will continue to be, a number of legislative and regulatory changes to the healthcare system, including cost-containment measures that may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reduce or limit coverage and reimbursement for newly approved drugs and biologics and affect our ability to profitably sell any product candidates for which we obtain marketing approval.</w:t>
      </w:r>
    </w:p>
    <w:p>
      <w:pPr>
        <w:spacing w:after="0" w:line="162" w:lineRule="exact"/>
        <w:rPr>
          <w:sz w:val="20"/>
          <w:szCs w:val="20"/>
          <w:color w:val="auto"/>
        </w:rPr>
      </w:pPr>
    </w:p>
    <w:p>
      <w:pPr>
        <w:ind w:left="60" w:right="119" w:firstLine="648"/>
        <w:spacing w:after="0" w:line="250" w:lineRule="auto"/>
        <w:rPr>
          <w:sz w:val="20"/>
          <w:szCs w:val="20"/>
          <w:color w:val="auto"/>
        </w:rPr>
      </w:pPr>
      <w:r>
        <w:rPr>
          <w:rFonts w:ascii="Times New Roman" w:cs="Times New Roman" w:eastAsia="Times New Roman" w:hAnsi="Times New Roman"/>
          <w:sz w:val="18"/>
          <w:szCs w:val="18"/>
          <w:color w:val="auto"/>
        </w:rPr>
        <w:t>For example, in March 2010, the Patient Protection and Affordable Care Act, as amended by the Health Care and Education Reconciliation Act, collectively referred to as the ACA, was enacted with a goal of reducing the cost of healthcare and substantially changing the way healthcare is financed by both governmental and private insurers. The ACA, among other things, subjected biological products to potential competition by lower-cost biosimilars; addressed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extended the rebate program to individuals enrolled in Medicaid managed care organizations; established annual fees and taxes on manufacturers of certain prescription drugs; created a new Medicare Part D coverage gap discount program, in which manufacturers must agree to offer point-of-sale discounts off negotiated prices of applicable brand drugs to eligible beneficiaries during their coverage gap period, as a condition for the manufacturer’s outpatient drugs to be covered under Medicare Part D; and established a new Patient-Centered Outcomes Research Institute to oversee, identify priorities and conduct comparative clinical effectiveness research, along with funding for such research.</w:t>
      </w:r>
    </w:p>
    <w:p>
      <w:pPr>
        <w:spacing w:after="0" w:line="194" w:lineRule="exact"/>
        <w:rPr>
          <w:sz w:val="20"/>
          <w:szCs w:val="20"/>
          <w:color w:val="auto"/>
        </w:rPr>
      </w:pPr>
    </w:p>
    <w:p>
      <w:pPr>
        <w:jc w:val="both"/>
        <w:ind w:left="60" w:right="419" w:firstLine="648"/>
        <w:spacing w:after="0" w:line="266" w:lineRule="auto"/>
        <w:rPr>
          <w:sz w:val="20"/>
          <w:szCs w:val="20"/>
          <w:color w:val="auto"/>
        </w:rPr>
      </w:pPr>
      <w:r>
        <w:rPr>
          <w:rFonts w:ascii="Times New Roman" w:cs="Times New Roman" w:eastAsia="Times New Roman" w:hAnsi="Times New Roman"/>
          <w:sz w:val="18"/>
          <w:szCs w:val="18"/>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w:t>
      </w:r>
    </w:p>
    <w:p>
      <w:pPr>
        <w:spacing w:after="0" w:line="176" w:lineRule="exact"/>
        <w:rPr>
          <w:sz w:val="20"/>
          <w:szCs w:val="20"/>
          <w:color w:val="auto"/>
        </w:rPr>
      </w:pPr>
    </w:p>
    <w:p>
      <w:pPr>
        <w:ind w:left="60" w:right="59" w:firstLine="648"/>
        <w:spacing w:after="0" w:line="250"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U.S. since the ACA was enacted. On March 11, 2021, the American Rescue Plan Act of 2021 was signed into law, which eliminated the statutory Medicaid drug rebate cap, beginning January 1, 2024. The rebate was previously capped at 100% of a drug’s average manufacturer price, or AMP. More recently, on August 16, 2022, the Inflation Reduction Act of 2022, or IRA, was signed into law.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 On August 29, 2023, HHS announced the list of the first ten drugs that will be subject to price negotiations. HHS has issued and will continue to issue guidance implementing the IRA, although the Medicare drug price negotiation program is currently subject to legal challenges. While the impact of the IRA on the pharmaceutical industry cannot yet be fully determined, it is likely to be significant.</w:t>
      </w:r>
    </w:p>
    <w:p>
      <w:pPr>
        <w:spacing w:after="0" w:line="194"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Additionally,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0" w:lineRule="exact"/>
        <w:rPr>
          <w:sz w:val="20"/>
          <w:szCs w:val="20"/>
          <w:color w:val="auto"/>
        </w:rPr>
      </w:pPr>
    </w:p>
    <w:p>
      <w:pPr>
        <w:ind w:left="60" w:right="219" w:firstLine="648"/>
        <w:spacing w:after="0" w:line="253" w:lineRule="auto"/>
        <w:rPr>
          <w:sz w:val="20"/>
          <w:szCs w:val="20"/>
          <w:color w:val="auto"/>
        </w:rPr>
      </w:pPr>
      <w:r>
        <w:rPr>
          <w:rFonts w:ascii="Times New Roman" w:cs="Times New Roman" w:eastAsia="Times New Roman" w:hAnsi="Times New Roman"/>
          <w:sz w:val="18"/>
          <w:szCs w:val="18"/>
          <w:color w:val="auto"/>
        </w:rPr>
        <w:t>We expect that the ACA, these new laws and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if approved.</w:t>
      </w:r>
    </w:p>
    <w:p>
      <w:pPr>
        <w:spacing w:after="0" w:line="189"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In the EU, similar political, economic and regulatory developments may affect our ability to profitably commercialize our product candidates,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 candidates, if approved. In markets outside of the United States and EU, reimbursement and healthcare payment systems vary significantly by country, and many countries have instituted price ceilings on specific products and therapies.</w:t>
      </w:r>
    </w:p>
    <w:p>
      <w:pPr>
        <w:spacing w:after="0" w:line="187"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action in the United States, the EU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183"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candidates for which we intend to seek approval as biologic products may face competition sooner than anticipated.</w:t>
      </w:r>
    </w:p>
    <w:p>
      <w:pPr>
        <w:spacing w:after="0" w:line="159"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The ACA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twelve years from the date on which the reference product was first licensed. During this twelve-year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its product.</w:t>
      </w:r>
    </w:p>
    <w:p>
      <w:pPr>
        <w:spacing w:after="0" w:line="177" w:lineRule="exact"/>
        <w:rPr>
          <w:sz w:val="20"/>
          <w:szCs w:val="20"/>
          <w:color w:val="auto"/>
        </w:rPr>
      </w:pPr>
    </w:p>
    <w:p>
      <w:pPr>
        <w:ind w:left="60" w:right="159" w:firstLine="648"/>
        <w:spacing w:after="0" w:line="252" w:lineRule="auto"/>
        <w:rPr>
          <w:sz w:val="20"/>
          <w:szCs w:val="20"/>
          <w:color w:val="auto"/>
        </w:rPr>
      </w:pPr>
      <w:r>
        <w:rPr>
          <w:rFonts w:ascii="Times New Roman" w:cs="Times New Roman" w:eastAsia="Times New Roman" w:hAnsi="Times New Roman"/>
          <w:sz w:val="18"/>
          <w:szCs w:val="18"/>
          <w:color w:val="auto"/>
        </w:rPr>
        <w:t>Mupadolimab, which we evaluated in a Phase 1/1b oncology clinical trial is regulated by the FDA as a biological product. We believe that mupadolimab and any of our future product candidates, if approved as a biological product under a BLA, should qualify for the twelve-year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Jurisdictions in addition to the United States have established abbreviated pathways for regulatory approval of biological products that are biosimilar to earlier approved reference products. For example, the EU has had an established regulatory pathway for biosimilars since 2006. Moreover, the extent to which a biosimilar, once approved, could be substituted for any one of our reference products in a way that is similar to traditional generic substitution for non-biological products will depend on a number of marketplace factors that are still developing.</w:t>
      </w:r>
    </w:p>
    <w:p>
      <w:pPr>
        <w:spacing w:after="0" w:line="184" w:lineRule="exact"/>
        <w:rPr>
          <w:sz w:val="20"/>
          <w:szCs w:val="20"/>
          <w:color w:val="auto"/>
        </w:rPr>
      </w:pPr>
    </w:p>
    <w:p>
      <w:pPr>
        <w:ind w:left="60" w:right="2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fail to obtain orphan drug designations from the FDA for our product candidates, and even if we obtain such designations, we may be unable to maintain the benefits associated with orphan drug designation, including the potential for market exclusivity.</w:t>
      </w:r>
    </w:p>
    <w:p>
      <w:pPr>
        <w:spacing w:after="0" w:line="161" w:lineRule="exact"/>
        <w:rPr>
          <w:sz w:val="20"/>
          <w:szCs w:val="20"/>
          <w:color w:val="auto"/>
        </w:rPr>
      </w:pPr>
    </w:p>
    <w:p>
      <w:pPr>
        <w:ind w:left="60" w:right="159" w:firstLine="648"/>
        <w:spacing w:after="0" w:line="252" w:lineRule="auto"/>
        <w:rPr>
          <w:sz w:val="20"/>
          <w:szCs w:val="20"/>
          <w:color w:val="auto"/>
        </w:rPr>
      </w:pPr>
      <w:r>
        <w:rPr>
          <w:rFonts w:ascii="Times New Roman" w:cs="Times New Roman" w:eastAsia="Times New Roman" w:hAnsi="Times New Roman"/>
          <w:sz w:val="18"/>
          <w:szCs w:val="18"/>
          <w:color w:val="auto"/>
        </w:rPr>
        <w:t>Under the Orphan Drug Act, the FDA may grant orphan drug designation to a drug or biologic intended to treat a rare disease or condition, which is defined as one occurring in a patient population of fewer than 200,000 in the United States, or a patient population greater than 200,000 in the United States where there is no reasonable expectation that the cost of developing the drug or biologic will be recovered from sales in the United States. In the United States,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or condition for which it has such designation, the product is entitled to orphan drug exclusivity, which means that the FDA may not approve any other applications, including a full NDA or BLA, to market the same drug or biologic for the same disease or condition for seven years, except in limited circumstances, such as a showing of clinical superiority to the product with orphan drug exclusivity or where the manufacturer is unable to assure sufficient product quantity.</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119" w:firstLine="648"/>
        <w:spacing w:after="0" w:line="250" w:lineRule="auto"/>
        <w:rPr>
          <w:sz w:val="20"/>
          <w:szCs w:val="20"/>
          <w:color w:val="auto"/>
        </w:rPr>
      </w:pPr>
      <w:r>
        <w:rPr>
          <w:rFonts w:ascii="Times New Roman" w:cs="Times New Roman" w:eastAsia="Times New Roman" w:hAnsi="Times New Roman"/>
          <w:sz w:val="18"/>
          <w:szCs w:val="18"/>
          <w:color w:val="auto"/>
        </w:rPr>
        <w:t>On February 8, 2024, we announced that the FDA granted Orphan Drug Designation for soquelitinib for the treatment of T cell lymphoma. We also believe many of the potential indications of our other product candidates, could qualify for orphan drug designation. As a result, we may seek to obtain additional orphan drug designations in the future. Even if we obtain such designations, we may not be the first to obtain marketing approval of our product candidate for the orphan-designated disease or condition due to the uncertainties associated with developing pharmaceutical products. In addition, exclusive marketing rights in the United States may be limited if we seek approval for a disease or condition broader than the orphan-designated disease or condition or may be lost if the FDA later determines that the request for designation was materially defective or if the manufacturer is unable to assure sufficient quantities of the product to meet the needs of patients with the rare disease or condition. Further, even if we obtain orphan drug exclusivity for a product, that exclusivity may not effectively protect the product from competition because different drugs can be approved for the same disease or condition. Even after an orphan product is approved, the FDA can subsequently approve the same drug for the same disease or condition if the FDA concludes that the later drug is safer, more effective or makes a major contribution to patient care. Orphan drug designation neither shortens the development time or regulatory review time of a drug, nor gives the drug any advantage in the regulatory review or approval process. In addition, while we may seek orphan drug designation for our other product candidates, we may never receive such designations.</w:t>
      </w:r>
    </w:p>
    <w:p>
      <w:pPr>
        <w:spacing w:after="0" w:line="191" w:lineRule="exact"/>
        <w:rPr>
          <w:sz w:val="20"/>
          <w:szCs w:val="20"/>
          <w:color w:val="auto"/>
        </w:rPr>
      </w:pPr>
    </w:p>
    <w:p>
      <w:pPr>
        <w:ind w:left="60" w:right="7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and fail to capitalize on product candidates that may be more profitable or for which there is a greater likelihood of success.</w:t>
      </w:r>
    </w:p>
    <w:p>
      <w:pPr>
        <w:spacing w:after="0" w:line="159"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are currently focusing on soquelitinib and ciforadenant. As a result, we may forgo or delay pursuit of opportunities with other product candidates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87" w:lineRule="exact"/>
        <w:rPr>
          <w:sz w:val="20"/>
          <w:szCs w:val="20"/>
          <w:color w:val="auto"/>
        </w:rPr>
      </w:pPr>
    </w:p>
    <w:p>
      <w:pPr>
        <w:ind w:left="6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form strategic alliances and collaborative partnerships in the future, and we may not realize the benefits of such alliances.</w:t>
      </w:r>
    </w:p>
    <w:p>
      <w:pPr>
        <w:spacing w:after="0" w:line="159"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We may form strategic alliances, create joint ventures or collaborations or enter into licensing arrangements with third parties that we believe will complement or augment our existing business, including for the continued development or commercialization of our product candidates. These relationships may result in or include non-recurring and other charges, increased near- and long-term expenditures, the issuance of securities that dilute our existing stockholders or disruptions to our management and business. 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third parties may view the risk of failure in future clinical trials as too significant or the commercial opportunity for our product candidates as too limited. We cannot be certain that, following a strategic transaction or license, we will achieve the revenue or specific net income that justifies such transaction.</w:t>
      </w:r>
    </w:p>
    <w:p>
      <w:pPr>
        <w:spacing w:after="0" w:line="193"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Even if we are successful in our efforts to establish strategic alliances or collaborative partnerships, the terms that we agree upon may not be favorable to us, and we may not be able to maintain such strategic alliances or collaborative partnerships if, for example, development or approval of a product candidate is delayed, the safety of a product candidate is questioned or sales of an approved product candidate are unsatisfactory. In addition, any existing or potential future strategic alliances or collaborative partnerships may be terminable by our strategic partners, and we may not be able to adequately protect our rights under these agreements. Furthermore, strategic partners may negotiate for certain rights to control decisions regarding the development and commercialization of our product candidates, if approved, and may not conduct those activities in the same manner as we do. Any termination of strategic alliances or collaborative partnerships we enter into in the future, or any delay in entering into collaborative partnership agreements related to our product candidates, could delay the development and commercialization of our product candidates and</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reduce their competitiveness if they reach the market, which could have a material adverse effect on our business, financial condition and results of operations.</w:t>
      </w:r>
    </w:p>
    <w:p>
      <w:pPr>
        <w:spacing w:after="0" w:line="162" w:lineRule="exact"/>
        <w:rPr>
          <w:sz w:val="20"/>
          <w:szCs w:val="20"/>
          <w:color w:val="auto"/>
        </w:rPr>
      </w:pPr>
    </w:p>
    <w:p>
      <w:pPr>
        <w:ind w:left="60" w:right="59" w:firstLine="648"/>
        <w:spacing w:after="0" w:line="250" w:lineRule="auto"/>
        <w:rPr>
          <w:sz w:val="20"/>
          <w:szCs w:val="20"/>
          <w:color w:val="auto"/>
        </w:rPr>
      </w:pPr>
      <w:r>
        <w:rPr>
          <w:rFonts w:ascii="Times New Roman" w:cs="Times New Roman" w:eastAsia="Times New Roman" w:hAnsi="Times New Roman"/>
          <w:sz w:val="18"/>
          <w:szCs w:val="18"/>
          <w:color w:val="auto"/>
        </w:rPr>
        <w:t>In October 2020, we formed Angel Pharmaceuticals with a group of investors in China to create a new China-based biopharmaceutical company with a mission to bring innovative quality medicines to Chinese patients for treatment of serious diseases including cancer, autoimmune diseases and infectious diseases. We granted Angel Pharmaceuticals a license to rights to develop and commercialize our three clinical-stage candidates – soquelitinib, ciforadenant and mupadolimab – in greater China and obtained global rights to our BTK inhibitor preclinical programs. While certain of our executive officers and directors will initially be on the board of directors of Angel Pharmaceuticals, we have limited control over it and so we will be subject to many of the same risks set forth above with respect to all collaborations. Additionally, any actions taken by the Chinese government to implement trade policy changes, financial restrictions, or increased regulatory scrutiny on U.S. companies could negatively impact Angel Pharmaceuticals. For instance, China has previously taken or threatened to take trade and other actions in retaliation against U.S. policies, and is likely to continue to do so. Past or future developments in this regard may have a material adverse effect on the economies, financial markets, and currency exchange rates in China and the United States. Tensions between the United States and China have increased over the past few years as a result of disputes in areas including trade policy, intellectual property, cybersecurity and data privacy, as well as due to geopolitical conflicts such as the war between Ukraine and Russia. Our interests in Angel Pharmaceuticals could be harmed if relations between the United States and China worsen or if either government imposes additional policies, tariffs or sanctions and our business could encounter increased regulatory scrutiny in China, as well as adverse media or public attention in China, as a result of the deteriorating bilateral relationship</w:t>
      </w:r>
    </w:p>
    <w:p>
      <w:pPr>
        <w:spacing w:after="0" w:line="196" w:lineRule="exact"/>
        <w:rPr>
          <w:sz w:val="20"/>
          <w:szCs w:val="20"/>
          <w:color w:val="auto"/>
        </w:rPr>
      </w:pPr>
    </w:p>
    <w:p>
      <w:pPr>
        <w:jc w:val="both"/>
        <w:ind w:left="60" w:right="519" w:firstLine="648"/>
        <w:spacing w:after="0" w:line="266" w:lineRule="auto"/>
        <w:rPr>
          <w:sz w:val="20"/>
          <w:szCs w:val="20"/>
          <w:color w:val="auto"/>
        </w:rPr>
      </w:pPr>
      <w:r>
        <w:rPr>
          <w:rFonts w:ascii="Times New Roman" w:cs="Times New Roman" w:eastAsia="Times New Roman" w:hAnsi="Times New Roman"/>
          <w:sz w:val="18"/>
          <w:szCs w:val="18"/>
          <w:color w:val="auto"/>
        </w:rPr>
        <w:t>Angel Pharmaceuticals will also be subject to many of the same risks that are set forth in this “Risk Factors” section pertaining to operations, government regulation, and intellectual property, which may adversely affect Angel Pharmaceuticals’ ability to develop and commercialize products.</w:t>
      </w:r>
    </w:p>
    <w:p>
      <w:pPr>
        <w:spacing w:after="0" w:line="158" w:lineRule="exact"/>
        <w:rPr>
          <w:sz w:val="20"/>
          <w:szCs w:val="20"/>
          <w:color w:val="auto"/>
        </w:rPr>
      </w:pPr>
    </w:p>
    <w:p>
      <w:pPr>
        <w:ind w:left="60" w:right="2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spacing w:after="0" w:line="180"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Our competitors have developed, are developing or will develop product candidates and processes competitive with our product candidates. Competitive therapeutic treatments include those that have already been approved and accepted by the medical community and any new treatments that enter the market. We believe that a significant number of products are currently under development, and may become commercially available in the future, for the treatment of conditions for which we may attempt to develop product candidates. In particular, there is intense and rapidly evolving competition in the immunoregulatory therapeutics field. Our competitors include larger and better funded pharmaceutical, biopharmaceutical, biotechnological and therapeutics companies. Moreover, we also compete with universities and other research institutions that may be active in oncology research and could be in direct competition with us. We also compete with these organizations to recruit management, scientists and clinical development personnel, which could negatively affect our level of expertise and our ability to execute our business plan. We will also face competition in establishing clinical trial sites, registering subjects for clinical trials and in identifying and in-licensing new product candidates. Smaller or early-stage companies may also prove to be significant competitors, particularly through collaborative arrangements with large and established companies.</w:t>
      </w:r>
    </w:p>
    <w:p>
      <w:pPr>
        <w:spacing w:after="0" w:line="194"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Kyowa Hakko Kirin has approval in Japan and the US for istradefylline, an A2A antagonist, in Parkinson’s disease. Within oncology, Novartis has announced an exclusive licensing agreement with Palobiofarma SL and is conducting a Phase 1 trial with an A2A antagonist. AstraZeneca plc is conducting clinical trials with an A2A antagonist for use in cancer therapy. Merck KgaA has entered into a pre-clinical collaboration with Domain Therapeutics Inc. to develop programs targeting the adenosine pathway. In addition, Redoxtherapies, Inc., which was acquired by Juno Therapeutics and subsequently by Celgene, and Arcus Biosciences, Inc. are developing A2A receptor antagonists for cancer. Astra Zeneca, Bristol-Myers Squib, and Novartis in partnership with Surface Oncology, Inc. have initiated clinical trials with anti-CD73 antibodies in cancer patients. Recently, Astra Zeneca reported positive results in a Phase 2 clinical trial in Stage 3 NSCLC with the combination of durvalumab and their anti CD73 antibody, oleclumab. More</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generally, in the field of immuno-oncology, there are large pharmaceutical companies with approved products or products in late-stage development that target other immune checkpoints, including PD-1, PD-L1 or CTLA-4. These companies include Bristol-Myers Squibb (nivolumab, ipilimumab), Merck (pembrolizumab), Genentech (atezolizumab) and AstraZeneca (durvalumab, tremelimumab).</w:t>
      </w:r>
    </w:p>
    <w:p>
      <w:pPr>
        <w:spacing w:after="0" w:line="180"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Many of our competitors have significantly greater financial, technical, manufacturing, marketing, sales and supply resources or experience than we do. If we successfully obtain approval for any product candidate, we will face competition based on many different factors, including the safety and effectiveness of our products, the ease with which our products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less expensive or marketed and sold more effectively than any products we may develop. Competitive products may make any products we develop obsolete or noncompetitive before we recover the expense of developing and commercializing our product candidates.</w:t>
      </w:r>
    </w:p>
    <w:p>
      <w:pPr>
        <w:spacing w:after="0" w:line="187" w:lineRule="exact"/>
        <w:rPr>
          <w:sz w:val="20"/>
          <w:szCs w:val="20"/>
          <w:color w:val="auto"/>
        </w:rPr>
      </w:pPr>
    </w:p>
    <w:p>
      <w:pPr>
        <w:ind w:left="60" w:right="4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market opportunities for our product candidates may be limited to those patients who are ineligible for or have failed prior treatments and may be small.</w:t>
      </w:r>
    </w:p>
    <w:p>
      <w:pPr>
        <w:spacing w:after="0" w:line="171" w:lineRule="exact"/>
        <w:rPr>
          <w:sz w:val="20"/>
          <w:szCs w:val="20"/>
          <w:color w:val="auto"/>
        </w:rPr>
      </w:pPr>
    </w:p>
    <w:p>
      <w:pPr>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Cancer therapies are sometimes characterized as first-line, second-line or third-line, which refers to the number of prior therapies required to be used prior to administration of the relevant therapy, and the FDA commonly approves new therapies initially s for later-line uses. When cancer is detected early enough, first line therapy is sometimes adequate to cure the cancer or prolong life without a cure. Whenever first-line therapy, usually chemotherapy, hormone therapy, surgery or a combination of these, proves unsuccessful, second-line therapy may be administered. Second-line therapies often consist of more chemotherapy, radiation, antibody drugs, tumor targeted small molecules or a combination of these. Third-line therapies can include bone marrow transplantation, antibody and small molecule targeted therapies, more invasive forms of surgery and new technologies. In markets with approved therapies, we expect to initially seek approval of our product candidates as a later stage therapy for patients who have failed other approved treatments. Subsequently, for those drugs that prove to be sufficiently beneficial, if any, we would expect to seek approval as a second-line therapy and potentially as a first-line therapy, but there is no guarantee that our product candidates, even if approved, would be approved for second-line or first-line therapy. In addition, we may have to conduct additional clinical trials prior to gaining approval for second-line or first-line therapy.</w:t>
      </w:r>
    </w:p>
    <w:p>
      <w:pPr>
        <w:spacing w:after="0" w:line="196" w:lineRule="exact"/>
        <w:rPr>
          <w:sz w:val="20"/>
          <w:szCs w:val="20"/>
          <w:color w:val="auto"/>
        </w:rPr>
      </w:pPr>
    </w:p>
    <w:p>
      <w:pPr>
        <w:ind w:left="60" w:right="159" w:firstLine="648"/>
        <w:spacing w:after="0" w:line="250" w:lineRule="auto"/>
        <w:rPr>
          <w:sz w:val="20"/>
          <w:szCs w:val="20"/>
          <w:color w:val="auto"/>
        </w:rPr>
      </w:pPr>
      <w:r>
        <w:rPr>
          <w:rFonts w:ascii="Times New Roman" w:cs="Times New Roman" w:eastAsia="Times New Roman" w:hAnsi="Times New Roman"/>
          <w:sz w:val="18"/>
          <w:szCs w:val="18"/>
          <w:color w:val="auto"/>
        </w:rPr>
        <w:t>Our projections of both the number of people who have the cancers we are targeting, as well as the subset of people with these cancers in a position to receive later stage therapy and who have the potential to benefit from treatment with our product candidates, are based on our beliefs and estimates. These estimates have been derived from a variety of sources, including scientific literature, surveys of clinics, patient foundations or market research and may prove to be incorrect. Further, new studies may change the estimated incidence or prevalence of these cancers. The number of patients may turn out to be lower than expected. In addition, the potentially addressable patient population for our product candidates may be limited or may not be amenable to treatment with our product candidates. Even if we obtain significant market share for our product candidates, we may never achieve profitability without obtaining regulatory approval for additional indications, including use as a first or second-line therapy.</w:t>
      </w:r>
    </w:p>
    <w:p>
      <w:pPr>
        <w:spacing w:after="0" w:line="189" w:lineRule="exact"/>
        <w:rPr>
          <w:sz w:val="20"/>
          <w:szCs w:val="20"/>
          <w:color w:val="auto"/>
        </w:rPr>
      </w:pPr>
    </w:p>
    <w:p>
      <w:pPr>
        <w:ind w:left="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 sales, marketing or distribution capabilities, and we may have to invest significant resources to develop these capabilities.</w:t>
      </w:r>
    </w:p>
    <w:p>
      <w:pPr>
        <w:spacing w:after="0" w:line="15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We have no internal sales, marketing or distribution capabilities. If soquelitinib, ciforadenant and mupadolimab or any of our other product candidates ultimately receives regulatory approval, we may not be able to effectively market and distribute the product candidate. We may have to seek collaborators or invest significant amounts of financial and management resources to develop internal sales, distribution and marketing capabilities, some of which will be committed prior to any confirmation that soquelitinib, ciforadenant and mupadolimab or any of our other product candidates will be approved, if at all. We may not be able to enter into collaborations or hire consultants or external service providers to assist us in sales, marketing and distribution functions on acceptable financial terms or at all. Even if</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579"/>
        <w:spacing w:after="0" w:line="282" w:lineRule="auto"/>
        <w:rPr>
          <w:sz w:val="20"/>
          <w:szCs w:val="20"/>
          <w:color w:val="auto"/>
        </w:rPr>
      </w:pPr>
      <w:r>
        <w:rPr>
          <w:rFonts w:ascii="Times New Roman" w:cs="Times New Roman" w:eastAsia="Times New Roman" w:hAnsi="Times New Roman"/>
          <w:sz w:val="18"/>
          <w:szCs w:val="18"/>
          <w:color w:val="auto"/>
        </w:rPr>
        <w:t>we determine to perform sales, marketing and distribution functions ourselves, we could face a number of additional related risks, including:</w:t>
      </w:r>
    </w:p>
    <w:p>
      <w:pPr>
        <w:spacing w:after="0" w:line="162" w:lineRule="exact"/>
        <w:rPr>
          <w:sz w:val="20"/>
          <w:szCs w:val="20"/>
          <w:color w:val="auto"/>
        </w:rPr>
      </w:pPr>
    </w:p>
    <w:p>
      <w:pPr>
        <w:ind w:left="1040" w:hanging="315"/>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attract and build an effective marketing department or sales force;</w:t>
      </w:r>
    </w:p>
    <w:p>
      <w:pPr>
        <w:spacing w:after="0" w:line="225" w:lineRule="exact"/>
        <w:rPr>
          <w:rFonts w:ascii="Times New Roman" w:cs="Times New Roman" w:eastAsia="Times New Roman" w:hAnsi="Times New Roman"/>
          <w:sz w:val="18"/>
          <w:szCs w:val="18"/>
          <w:color w:val="auto"/>
        </w:rPr>
      </w:pPr>
    </w:p>
    <w:p>
      <w:pPr>
        <w:jc w:val="both"/>
        <w:ind w:left="1040" w:right="279" w:hanging="315"/>
        <w:spacing w:after="0" w:line="266"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a marketing department or sales force may exceed our available financial resources and the revenue generated by soquelitinib, ciforadenant and mupadolimab or any other product candidates that we may develop, in-license or acquire; and</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 sales and marketing efforts may not be successful.</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Governments may impose price controls, which may adversely affect our future profitability.</w:t>
      </w:r>
    </w:p>
    <w:p>
      <w:pPr>
        <w:spacing w:after="0" w:line="22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We intend to seek approval to market our product candidates in both the United States and in foreign jurisdictions. In some foreign countries, particularly in the EU, the pricing of prescription pharmaceuticals is subject to governmental control. In these countries, pricing negotiations with governmental authorities can take considerable time after the receipt of marketing approval for a product candidate. To obtain reimbursement or pricing approval in some countries, we may be required to conduct clinical trials to compare the cost-effectiveness of our product candidates to other available therapies, which is time-consuming and costly. If reimbursement of our future products is unavailable or limited in scope or amount, or if pricing is set at unsatisfactory levels, we may be unable to achieve or sustain profitability.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w:t>
      </w:r>
    </w:p>
    <w:p>
      <w:pPr>
        <w:spacing w:after="0" w:line="225" w:lineRule="exact"/>
        <w:rPr>
          <w:sz w:val="20"/>
          <w:szCs w:val="20"/>
          <w:color w:val="auto"/>
        </w:rPr>
      </w:pPr>
    </w:p>
    <w:p>
      <w:pPr>
        <w:ind w:left="60" w:right="5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159" w:lineRule="exact"/>
        <w:rPr>
          <w:sz w:val="20"/>
          <w:szCs w:val="20"/>
          <w:color w:val="auto"/>
        </w:rPr>
      </w:pPr>
    </w:p>
    <w:p>
      <w:pPr>
        <w:ind w:left="60" w:right="319" w:firstLine="648"/>
        <w:spacing w:after="0" w:line="258"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183" w:lineRule="exact"/>
        <w:rPr>
          <w:sz w:val="20"/>
          <w:szCs w:val="20"/>
          <w:color w:val="auto"/>
        </w:rPr>
      </w:pPr>
    </w:p>
    <w:p>
      <w:pPr>
        <w:ind w:left="1040" w:right="359" w:hanging="315"/>
        <w:spacing w:after="0" w:line="282"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development and commercialization activities relating to our product candidates, which may change from time to time;</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policies with respect to our product candidates, if approved, and potential future drugs that compete with our product candidates;</w:t>
      </w:r>
    </w:p>
    <w:p>
      <w:pPr>
        <w:spacing w:after="0" w:line="161" w:lineRule="exact"/>
        <w:rPr>
          <w:rFonts w:ascii="Times New Roman" w:cs="Times New Roman" w:eastAsia="Times New Roman" w:hAnsi="Times New Roman"/>
          <w:sz w:val="18"/>
          <w:szCs w:val="18"/>
          <w:color w:val="auto"/>
        </w:rPr>
      </w:pPr>
    </w:p>
    <w:p>
      <w:pPr>
        <w:ind w:left="1040" w:right="259" w:hanging="315"/>
        <w:spacing w:after="0" w:line="282"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 candidates, which may vary depending on the quantity of production and the terms of our agreements with manufacturers;</w:t>
      </w:r>
    </w:p>
    <w:p>
      <w:pPr>
        <w:spacing w:after="0" w:line="161" w:lineRule="exact"/>
        <w:rPr>
          <w:rFonts w:ascii="Times New Roman" w:cs="Times New Roman" w:eastAsia="Times New Roman" w:hAnsi="Times New Roman"/>
          <w:sz w:val="18"/>
          <w:szCs w:val="18"/>
          <w:color w:val="auto"/>
        </w:rPr>
      </w:pPr>
    </w:p>
    <w:p>
      <w:pPr>
        <w:ind w:left="1040" w:right="519" w:hanging="315"/>
        <w:spacing w:after="0" w:line="282"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may incur to acquire, develop or commercialize additional product candidates and technologies;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any approved products (if any), which may vary significantly;</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such as increased interest and inflationary pressures;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 and</w:t>
      </w:r>
    </w:p>
    <w:p>
      <w:pPr>
        <w:spacing w:after="0" w:line="225" w:lineRule="exact"/>
        <w:rPr>
          <w:rFonts w:ascii="Times New Roman" w:cs="Times New Roman" w:eastAsia="Times New Roman" w:hAnsi="Times New Roman"/>
          <w:sz w:val="18"/>
          <w:szCs w:val="18"/>
          <w:color w:val="auto"/>
        </w:rPr>
      </w:pPr>
    </w:p>
    <w:p>
      <w:pPr>
        <w:ind w:left="1040" w:right="79" w:hanging="315"/>
        <w:spacing w:after="0" w:line="266"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or failure of clinical trials for our product candidates or competing product candidates, or any other change in the competitive landscape of our industry, including consolidation among our competitors or partners.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76"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183" w:lineRule="exact"/>
        <w:rPr>
          <w:sz w:val="20"/>
          <w:szCs w:val="20"/>
          <w:color w:val="auto"/>
        </w:rPr>
      </w:pPr>
    </w:p>
    <w:p>
      <w:pPr>
        <w:ind w:left="60" w:right="1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the services of our President and Chief Executive Officer, Richard A. Miller, M.D., and other key executives, and if we are not able to retain these members of our management or recruit additional management, clinical and scientific personnel, our business will suffer.</w:t>
      </w:r>
    </w:p>
    <w:p>
      <w:pPr>
        <w:spacing w:after="0" w:line="175" w:lineRule="exact"/>
        <w:rPr>
          <w:sz w:val="20"/>
          <w:szCs w:val="20"/>
          <w:color w:val="auto"/>
        </w:rPr>
      </w:pPr>
    </w:p>
    <w:p>
      <w:pPr>
        <w:ind w:left="60" w:right="199" w:firstLine="648"/>
        <w:spacing w:after="0" w:line="252" w:lineRule="auto"/>
        <w:rPr>
          <w:sz w:val="20"/>
          <w:szCs w:val="20"/>
          <w:color w:val="auto"/>
        </w:rPr>
      </w:pPr>
      <w:r>
        <w:rPr>
          <w:rFonts w:ascii="Times New Roman" w:cs="Times New Roman" w:eastAsia="Times New Roman" w:hAnsi="Times New Roman"/>
          <w:sz w:val="18"/>
          <w:szCs w:val="18"/>
          <w:color w:val="auto"/>
        </w:rPr>
        <w:t>We are dependent on the principal members of our management and scientific staff. The loss of service of any of our management could harm our business. In addition, we are dependent on our continued ability to attract, retain and motivate highly qualified management, clinical and scientific personnel. If we are not able to retain our management, particularly our President and Chief Executive Officer, Dr. Miller, and to attract, on acceptable terms, additional qualified personnel necessary for the continued development of our business, we may not be able to sustain our operations or grow. Although we have executed employment agreements with each member of our current executive management team, including Dr. Miller, these agreements are terminable at will with or without notice and, therefore, we may not be able to retain their services as expected.</w:t>
      </w:r>
    </w:p>
    <w:p>
      <w:pPr>
        <w:spacing w:after="0" w:line="192"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We will need to expand and effectively manage our managerial, operational, financial and other resources in order to successfully pursue our clinical development and commercialization efforts. We may not be able to attract or retain qualified management and scientific and clinical personnel in the future due to the intense competition for qualified personnel among pharmaceutical, biotechnology and other businesses, particularly in the San Francisco Bay Area. Our industry has experienced a high rate of turnover of management personnel in recent years. If we are not able to attract, integrate, retain and motivate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192" w:lineRule="exact"/>
        <w:rPr>
          <w:sz w:val="20"/>
          <w:szCs w:val="20"/>
          <w:color w:val="auto"/>
        </w:rPr>
      </w:pPr>
    </w:p>
    <w:p>
      <w:pPr>
        <w:jc w:val="both"/>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In addition, we do not currently maintain “key person” life insurance on the lives of our executives or any of our employees. This lack of insurance means that we may not have adequate compensation for the loss of the services of these individuals.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difficulties in managing our growth and expanding our operations successfully.</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We will need to grow our organization substantially to continue development and pursue the potential commercialization of soquelitinib, ciforadenant and mupadolimab and our other product candidates. As we seek to advance soquelitinib, ciforadenant and mupadolimab and other product candidates, we will need to expand our financial, development, regulatory, manufacturing, marketing and sales capabilities or contract with third parties to provide these capabilities for us. As our operations expand, we expect that we will need to manage additional relationships with various strategic partners, suppliers and other third parties. Our future financial performance and our ability to commercialize our product candidates and to compete effectively will depend, in part, on our ability to manage any future growth effectively.</w:t>
      </w:r>
    </w:p>
    <w:p>
      <w:pPr>
        <w:spacing w:after="0" w:line="183"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various federal and state healthcare laws and regulations, and our failure to comply with these laws and regulations could harm our results of operations and financial condition.</w:t>
      </w:r>
    </w:p>
    <w:p>
      <w:pPr>
        <w:spacing w:after="0" w:line="159" w:lineRule="exact"/>
        <w:rPr>
          <w:sz w:val="20"/>
          <w:szCs w:val="20"/>
          <w:color w:val="auto"/>
        </w:rPr>
      </w:pPr>
    </w:p>
    <w:p>
      <w:pPr>
        <w:ind w:left="60" w:right="259" w:firstLine="648"/>
        <w:spacing w:after="0" w:line="312" w:lineRule="auto"/>
        <w:rPr>
          <w:sz w:val="20"/>
          <w:szCs w:val="20"/>
          <w:color w:val="auto"/>
        </w:rPr>
      </w:pPr>
      <w:r>
        <w:rPr>
          <w:rFonts w:ascii="Times New Roman" w:cs="Times New Roman" w:eastAsia="Times New Roman" w:hAnsi="Times New Roman"/>
          <w:sz w:val="17"/>
          <w:szCs w:val="17"/>
          <w:color w:val="auto"/>
        </w:rPr>
        <w:t>Although we do not currently have any products on the market, if we obtain FDA or foreign approval for any of our product candidates and begin commercializing those products in the United States or abroad, our operations may be</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directly, or indirectly through our customers and third-party payors, subject to various U.S. federal, state and foreign healthcare laws and regulations. These laws will affect our operations, sales and marketing practices, and our relationships with physicians and other customers and third-party payors. Such laws include:</w:t>
      </w:r>
    </w:p>
    <w:p>
      <w:pPr>
        <w:spacing w:after="0" w:line="176" w:lineRule="exact"/>
        <w:rPr>
          <w:sz w:val="20"/>
          <w:szCs w:val="20"/>
          <w:color w:val="auto"/>
        </w:rPr>
      </w:pPr>
    </w:p>
    <w:p>
      <w:pPr>
        <w:ind w:left="1040" w:right="239" w:hanging="315"/>
        <w:spacing w:after="0" w:line="253"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or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federal Anti-Kickback Statute or specific intent to violate it to have committed a violation;</w:t>
      </w:r>
    </w:p>
    <w:p>
      <w:pPr>
        <w:spacing w:after="0" w:line="189" w:lineRule="exact"/>
        <w:rPr>
          <w:rFonts w:ascii="Times New Roman" w:cs="Times New Roman" w:eastAsia="Times New Roman" w:hAnsi="Times New Roman"/>
          <w:sz w:val="18"/>
          <w:szCs w:val="18"/>
          <w:color w:val="auto"/>
        </w:rPr>
      </w:pPr>
    </w:p>
    <w:p>
      <w:pPr>
        <w:ind w:left="1040" w:right="299" w:hanging="315"/>
        <w:spacing w:after="0" w:line="271" w:lineRule="auto"/>
        <w:tabs>
          <w:tab w:leader="none" w:pos="10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False Claims Act, which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or services resulting from a violation of the federal Anti-Kickback Statute constitutes a false or fraudulent claim for purposes of the federal False Claims Act;</w:t>
      </w:r>
    </w:p>
    <w:p>
      <w:pPr>
        <w:spacing w:after="0" w:line="174" w:lineRule="exact"/>
        <w:rPr>
          <w:rFonts w:ascii="Times New Roman" w:cs="Times New Roman" w:eastAsia="Times New Roman" w:hAnsi="Times New Roman"/>
          <w:sz w:val="17"/>
          <w:szCs w:val="17"/>
          <w:color w:val="auto"/>
        </w:rPr>
      </w:pPr>
    </w:p>
    <w:p>
      <w:pPr>
        <w:ind w:left="1040" w:right="79" w:hanging="315"/>
        <w:spacing w:after="0" w:line="261"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which imposes criminal and civil liability for executing a scheme to defraud any healthcare benefit program or making false statements relating to healthcare matters. Similar to the federal Anti-Kickback Statute, a person or entity does not need to have actual knowledge of the statute or specific intent to violate it to have committed a violation;</w:t>
      </w:r>
    </w:p>
    <w:p>
      <w:pPr>
        <w:spacing w:after="0" w:line="166" w:lineRule="exact"/>
        <w:rPr>
          <w:rFonts w:ascii="Times New Roman" w:cs="Times New Roman" w:eastAsia="Times New Roman" w:hAnsi="Times New Roman"/>
          <w:sz w:val="18"/>
          <w:szCs w:val="18"/>
          <w:color w:val="auto"/>
        </w:rPr>
      </w:pPr>
    </w:p>
    <w:p>
      <w:pPr>
        <w:ind w:left="1040" w:right="119" w:hanging="315"/>
        <w:spacing w:after="0" w:line="252"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Sunshine Act, which requires manufacturers of drugs, devices, biologics and medical supplies for which payment is available under Medicare, Medicaid or the Children’s Health Insurance Program (with certain exceptions) to report annually to the government information related to payments or other “transfers of value” made to physicians (defined to include doctors, dentists, optometrists, podiatrists and chiropractors), certain non-physician practitioners (physician assistants, nurse practitioners, clinical nurse specialists, certified registered nurse anesthetists, anesthesiology assistants and certified nurse midwives) and teaching hospitals, and requires applicable manufacturers and group purchasing organizations to report annually to the government ownership and investment interests held by the physicians described above and their immediate family members. Manufacturers are required to submit reports to the government by the 90th day of each calendar year; and</w:t>
      </w:r>
    </w:p>
    <w:p>
      <w:pPr>
        <w:spacing w:after="0" w:line="189" w:lineRule="exact"/>
        <w:rPr>
          <w:rFonts w:ascii="Times New Roman" w:cs="Times New Roman" w:eastAsia="Times New Roman" w:hAnsi="Times New Roman"/>
          <w:sz w:val="18"/>
          <w:szCs w:val="18"/>
          <w:color w:val="auto"/>
        </w:rPr>
      </w:pPr>
    </w:p>
    <w:p>
      <w:pPr>
        <w:ind w:left="1040" w:right="139" w:hanging="315"/>
        <w:spacing w:after="0" w:line="253"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and state laws that require drug manufacturers to report information related to payments and other transfers of value to physicians and other healthcare providers or marketing expenditures and pricing information.</w:t>
      </w:r>
    </w:p>
    <w:p>
      <w:pPr>
        <w:spacing w:after="0" w:line="187"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Ensuring that our internal operations and business arrangements with third-parties comply with applicable healthcare laws and regulations could involve substantial costs. If our operations are found to be in violation of such laws or any other governmental laws and regulations that may apply to us, we may be subject to significant penalties, including civil, criminal and administrative penalties, damages, fines, exclusion from U.S. government funded healthcare programs, such as Medicare and Medicaid, disgorgement, individual imprisonment, contractual damages, reputational harm, diminished profits and the curtailment or restructuring of our operations.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right="2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our current and any existing or future collaborators, third-party manufacturers and suppliers will or may use biological materials and may use hazardous materials, and any claims relating to improper handling, storage or disposal of these materials could be time consuming or costly.</w:t>
      </w:r>
    </w:p>
    <w:p>
      <w:pPr>
        <w:spacing w:after="0" w:line="175"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We and our current and any existing or future collaborators, third-party manufacturers or suppliers will or may use biological materials and may use hazardous materials, including chemicals and biological agents and compounds that could be dangerous to human health and safety of the environment. Our operations and the operations of our third-party manufacturers and suppliers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product development efforts. In addition, we cannot eliminate the risk of accidental injury or contamination from these materials or wastes. We do not carry specific biological or hazardous waste insurance coverage, and our property, casualty and general liability insurance policies specifically exclude coverage for damages and fines arising from biological or hazardous waste exposure or contamination. In the event of contamination or injury, we could be held liable for damages or be penalized with fines in an amount exceeding our resources, and our clinical trials or regulatory approvals could be suspended.</w:t>
      </w:r>
    </w:p>
    <w:p>
      <w:pPr>
        <w:spacing w:after="0" w:line="190" w:lineRule="exact"/>
        <w:rPr>
          <w:sz w:val="20"/>
          <w:szCs w:val="20"/>
          <w:color w:val="auto"/>
        </w:rPr>
      </w:pPr>
    </w:p>
    <w:p>
      <w:pPr>
        <w:ind w:left="6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soquelitinib, ciforadenant and mupadolimab or our other product candidates.</w:t>
      </w:r>
    </w:p>
    <w:p>
      <w:pPr>
        <w:spacing w:after="0" w:line="159"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of soquelitinib, ciforadenant and mupadolimab, and the planned clinical testing of our other product candidates and will face an even greater risk if we commercialize our product candidates. For example, we may be sued if soquelitinib, ciforadenant and mupadolimab or our other product candidates allegedly cause injury or are found to be otherwise unsuitable during product testing, manufacturing, marketing or sale. Any such product liability claims may include allegations of defects in manufacturing, defects in design, a failure to warn of dangers inherent in the product candidate, negligence, strict liability and a breach of warranties. Claims could also be asserted under state consumer protection acts.</w:t>
      </w:r>
    </w:p>
    <w:p>
      <w:pPr>
        <w:spacing w:after="0" w:line="187"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If we cannot successfully defend ourselves against product liability claims, we may incur substantial liabilities or be required to limit or cease the commercialization of our product candidates. Even a successful defense would require significant financial and management resources. Regardless of the merits or eventual outcome, liability claims may result in:</w:t>
      </w:r>
    </w:p>
    <w:p>
      <w:pPr>
        <w:spacing w:after="0" w:line="180" w:lineRule="exact"/>
        <w:rPr>
          <w:sz w:val="20"/>
          <w:szCs w:val="20"/>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soquelitinib, ciforadenant and mupadolimab or our other product candidates;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225" w:lineRule="exact"/>
        <w:rPr>
          <w:rFonts w:ascii="Times New Roman" w:cs="Times New Roman" w:eastAsia="Times New Roman" w:hAnsi="Times New Roman"/>
          <w:sz w:val="18"/>
          <w:szCs w:val="18"/>
          <w:color w:val="auto"/>
        </w:rPr>
      </w:pPr>
    </w:p>
    <w:p>
      <w:pPr>
        <w:ind w:left="1040" w:right="259" w:hanging="315"/>
        <w:spacing w:after="0" w:line="266"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soquelitinib, ciforadenant and mupadolimab or our other product candidates; and</w:t>
      </w:r>
    </w:p>
    <w:p>
      <w:pPr>
        <w:spacing w:after="0" w:line="18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stock price.</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We have product liability insurance coverage in an amount and on terms and conditions that are customary for similarly situated companies and that are satisfactory to our board of directors. Our inability to retain sufficient product liability insurance at an acceptable cost to protect against potential product liability claims could prevent or inhibit the commercialization of soquelitinib, ciforadenant and mupadolimab or our other product candidates. Although we plan to maintain such insurance, any claim that may be brought against us could result in a court judgment or settlement in an amount that is not covered, in whole or in part, by our insurance or that is in excess of the limits of our insurance coverage. Our insurance policies will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w:t>
      </w:r>
    </w:p>
    <w:p>
      <w:pPr>
        <w:spacing w:after="0" w:line="185" w:lineRule="exact"/>
        <w:rPr>
          <w:sz w:val="20"/>
          <w:szCs w:val="20"/>
          <w:color w:val="auto"/>
        </w:rPr>
      </w:pPr>
    </w:p>
    <w:p>
      <w:pPr>
        <w:ind w:left="60" w:right="3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any of our existing or potential future collaborators will be required to report to regulatory authorities if any products that may be approved in the future cause or contribute to adverse medical events, and any failure to do so would result in sanctions that would materially harm our business.</w:t>
      </w:r>
    </w:p>
    <w:p>
      <w:pPr>
        <w:spacing w:after="0" w:line="175"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If we and any of our existing or potential future collaborators are successful in commercializing our products, the FDA and foreign regulatory authorities would require that we and any of our existing or potential future collaborators report certain information about adverse medical events if those products may have caused or contributed to those adverse events. The timing of our obligation to report would be triggered by the date we become aware of the adverse event as well as the nature of the event. We and any of our existing or potential future collaborators or CROs may fail to report adverse events within the prescribed timeframe. If we or any of our existing or potential future collaborators or CROs fail to comply with such reporting obligations, the FDA or a foreign regulatory authority could take action, including criminal prosecution, the imposition of civil monetary penalties, seizure of our products or delay in approval or clearance of future products.</w:t>
      </w:r>
    </w:p>
    <w:p>
      <w:pPr>
        <w:spacing w:after="0" w:line="173" w:lineRule="exact"/>
        <w:rPr>
          <w:sz w:val="20"/>
          <w:szCs w:val="20"/>
          <w:color w:val="auto"/>
        </w:rPr>
      </w:pPr>
    </w:p>
    <w:p>
      <w:pPr>
        <w:jc w:val="both"/>
        <w:ind w:left="60" w:right="69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employees, independent contractors, principal investigators, CROs, consultants and vendors may engage in misconduct or other improper activities, including noncompliance with regulatory standards and requirements.</w:t>
      </w:r>
    </w:p>
    <w:p>
      <w:pPr>
        <w:spacing w:after="0" w:line="136" w:lineRule="exact"/>
        <w:rPr>
          <w:sz w:val="20"/>
          <w:szCs w:val="20"/>
          <w:color w:val="auto"/>
        </w:rPr>
      </w:pPr>
    </w:p>
    <w:p>
      <w:pPr>
        <w:ind w:left="60" w:right="79" w:firstLine="648"/>
        <w:spacing w:after="0" w:line="268" w:lineRule="auto"/>
        <w:rPr>
          <w:sz w:val="20"/>
          <w:szCs w:val="20"/>
          <w:color w:val="auto"/>
        </w:rPr>
      </w:pPr>
      <w:r>
        <w:rPr>
          <w:rFonts w:ascii="Times New Roman" w:cs="Times New Roman" w:eastAsia="Times New Roman" w:hAnsi="Times New Roman"/>
          <w:sz w:val="17"/>
          <w:szCs w:val="17"/>
          <w:color w:val="auto"/>
        </w:rPr>
        <w:t>We are exposed to the risk that our employees, independent contractors, principal investigators, CROs, consultants and vendors may engage in misconduct or other illegal activity. Misconduct by these parties could include intentional, reckless and/or negligent conduct involving the improper use or misrepresentation of information obtained in the course of clinical trials, the creation of fraudulent data in our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fines and other sanctions.</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12" w:lineRule="exact"/>
        <w:rPr>
          <w:sz w:val="20"/>
          <w:szCs w:val="20"/>
          <w:color w:val="auto"/>
        </w:rPr>
      </w:pPr>
    </w:p>
    <w:p>
      <w:pPr>
        <w:ind w:left="60" w:right="1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rights to develop and commercialize our product candidates are subject in part to the terms and conditions of licenses granted to us by other companies. The patent protection, prosecution and enforcement for some of our product candidates may be dependent on third parties.</w:t>
      </w:r>
    </w:p>
    <w:p>
      <w:pPr>
        <w:spacing w:after="0" w:line="175"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currently are heavily reliant upon licenses of certain patent rights and proprietary technology from third parties that is important or necessary to the development of our technology and products, including technology related to our product candidates. For example, we rely on our license agreement with Vernalis for rights with respect to the intellectual property covering ciforadenant and certain development candidates under our A2B receptor antagonist program. Further, we rely on our license agreement with The Scripps Research Institute for rights related to our lead development candidate for our anti-CD73 program, mupadolimab. These and other licenses we may enter into in the</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future may not provide adequate rights to use such intellectual property and technology in all relevant fields of use or in all territories in which we may wish to develop or commercialize our technology and products in the future. As a result, we may not be able to develop and commercialize our technology and products in fields of use and territories for which we are not granted rights pursuant to such licenses.</w:t>
      </w:r>
    </w:p>
    <w:p>
      <w:pPr>
        <w:spacing w:after="0" w:line="180" w:lineRule="exact"/>
        <w:rPr>
          <w:sz w:val="20"/>
          <w:szCs w:val="20"/>
          <w:color w:val="auto"/>
        </w:rPr>
      </w:pPr>
    </w:p>
    <w:p>
      <w:pPr>
        <w:jc w:val="both"/>
        <w:ind w:left="60" w:right="439" w:firstLine="648"/>
        <w:spacing w:after="0" w:line="266" w:lineRule="auto"/>
        <w:rPr>
          <w:sz w:val="20"/>
          <w:szCs w:val="20"/>
          <w:color w:val="auto"/>
        </w:rPr>
      </w:pPr>
      <w:r>
        <w:rPr>
          <w:rFonts w:ascii="Times New Roman" w:cs="Times New Roman" w:eastAsia="Times New Roman" w:hAnsi="Times New Roman"/>
          <w:sz w:val="18"/>
          <w:szCs w:val="18"/>
          <w:color w:val="auto"/>
        </w:rPr>
        <w:t>Licenses to additional third-party technology that may be required for our development programs may not be available in the future or may not be available on commercially reasonable terms, which could have a material adverse effect on our business and financial condition.</w:t>
      </w:r>
    </w:p>
    <w:p>
      <w:pPr>
        <w:spacing w:after="0" w:line="162" w:lineRule="exact"/>
        <w:rPr>
          <w:sz w:val="20"/>
          <w:szCs w:val="20"/>
          <w:color w:val="auto"/>
        </w:rPr>
      </w:pPr>
    </w:p>
    <w:p>
      <w:pPr>
        <w:ind w:left="60" w:right="99" w:firstLine="648"/>
        <w:spacing w:after="0" w:line="251" w:lineRule="auto"/>
        <w:rPr>
          <w:sz w:val="20"/>
          <w:szCs w:val="20"/>
          <w:color w:val="auto"/>
        </w:rPr>
      </w:pPr>
      <w:r>
        <w:rPr>
          <w:rFonts w:ascii="Times New Roman" w:cs="Times New Roman" w:eastAsia="Times New Roman" w:hAnsi="Times New Roman"/>
          <w:sz w:val="18"/>
          <w:szCs w:val="18"/>
          <w:color w:val="auto"/>
        </w:rPr>
        <w:t>In some circumstances, we may not have the right to control the preparation, filing, prosecution and enforcement of patent applications, or to maintain the patents, covering technology that we license from third parties. In addition, some of our agreements with our licensors require us to obtain consent from the licensor before we can enforce patent rights, and our licensor may withhold such consent or may not provide it on a timely basis. Therefore, we cannot be certain that our licensors or collaborators will prosecute, maintain, enforce and defend such intellectual property rights in a manner consistent with the best interests of our business, including by taking reasonable measures to protect the confidentiality of know-how and trade secrets, or by paying all applicable prosecution and maintenance fees related to intellectual property registrations for any of our product candidates. We also cannot be certain that our licensors have drafted or prosecuted the patents and patent applications licensed to us in compliance with applicable laws and regulations, which may affect the validity and enforceability of such patents or any patents that may issue from such applications. If they fail to do so, this could cause us to lose rights in any applicable intellectual property that we in-license, and as a result our ability to develop and commercialize products or product candidates may be adversely affected and we may be unable to prevent competitors from making, using and selling competing products.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on our ability to protect our intellectual property and our proprietary technologies.</w:t>
      </w:r>
    </w:p>
    <w:p>
      <w:pPr>
        <w:spacing w:after="0" w:line="229"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patent protection and trade secret protection for our product candidates, proprietary technologies and their uses as well as our ability to operate without infringing upon the proprietary rights of others. We generally seek to protect our proprietary position by filing patent applications in the United States and abroad related to our product candidates, proprietary technologies and their uses that are important to our business. There can be no assurance that our patent applications or those of our licensors will result in additional patents being issued or that issued patents will afford sufficient protection against competitors with similar technology, nor can there be any assurance that the patents issued will not be infringed, designed around or invalidated by third parties. Even issued patents may later be found invalid or unenforceable or may be modified or revoked in proceedings instituted by third parties before various patent offices or in courts. The degree of future protection for our proprietary rights is uncertain. Only limited protection may be available and may not adequately protect our rights or permit us to gain or keep any competitive advantage. This failure to properly protect the intellectual property rights relating to our product candidates could have a material adverse effect on our financial condition and results of operations.</w:t>
      </w:r>
    </w:p>
    <w:p>
      <w:pPr>
        <w:spacing w:after="0" w:line="194"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While we have rights to issued composition-of-matter patents in the United States and corresponding issued patents in certain foreign territories covering soquelitinib, mupadolimab and ciforadenant, we cannot be certain that the claims in any of our patent applications covering composition-of-matter of our other product candidates will be considered patentable by the United States Patent and Trademark Office (“USPTO”), courts in the United States or by the patent offices and courts in foreign countries, nor can we be certain that the claims in our issued composition-of-matter patents will not be found invalid or unenforceable if challenged.</w:t>
      </w:r>
    </w:p>
    <w:p>
      <w:pPr>
        <w:spacing w:after="0" w:line="189"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The patent application process is subject to numerous risks and uncertainties, and there can be no assurance that we or any of our existing or potential future collaborators will be successful in protecting our product candidates by obtaining and defending patents. These risks and uncertainties include the following:</w:t>
      </w:r>
    </w:p>
    <w:p>
      <w:pPr>
        <w:spacing w:after="0" w:line="176" w:lineRule="exact"/>
        <w:rPr>
          <w:sz w:val="20"/>
          <w:szCs w:val="20"/>
          <w:color w:val="auto"/>
        </w:rPr>
      </w:pPr>
    </w:p>
    <w:p>
      <w:pPr>
        <w:ind w:left="1040" w:right="399" w:hanging="315"/>
        <w:spacing w:after="0" w:line="296" w:lineRule="auto"/>
        <w:tabs>
          <w:tab w:leader="none" w:pos="10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USPTO and various foreign governmental patent agencies require compliance with a number of procedural, documentary, fee payment and other provisions during the patent process, the noncompliance</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040" w:right="219"/>
        <w:spacing w:after="0" w:line="282" w:lineRule="auto"/>
        <w:rPr>
          <w:sz w:val="20"/>
          <w:szCs w:val="20"/>
          <w:color w:val="auto"/>
        </w:rPr>
      </w:pPr>
      <w:r>
        <w:rPr>
          <w:rFonts w:ascii="Times New Roman" w:cs="Times New Roman" w:eastAsia="Times New Roman" w:hAnsi="Times New Roman"/>
          <w:sz w:val="18"/>
          <w:szCs w:val="18"/>
          <w:color w:val="auto"/>
        </w:rPr>
        <w:t>with which can result in abandonment or lapse of a patent or patent application, and partial or complete loss of patent rights in the relevant jurisdiction;</w:t>
      </w:r>
    </w:p>
    <w:p>
      <w:pPr>
        <w:spacing w:after="0" w:line="162" w:lineRule="exact"/>
        <w:rPr>
          <w:sz w:val="20"/>
          <w:szCs w:val="20"/>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may not result in any patents being issued;</w:t>
      </w:r>
    </w:p>
    <w:p>
      <w:pPr>
        <w:spacing w:after="0" w:line="225" w:lineRule="exact"/>
        <w:rPr>
          <w:rFonts w:ascii="Times New Roman" w:cs="Times New Roman" w:eastAsia="Times New Roman" w:hAnsi="Times New Roman"/>
          <w:sz w:val="18"/>
          <w:szCs w:val="18"/>
          <w:color w:val="auto"/>
        </w:rPr>
      </w:pPr>
    </w:p>
    <w:p>
      <w:pPr>
        <w:ind w:left="1040" w:right="239" w:hanging="315"/>
        <w:spacing w:after="0" w:line="282"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that may be issued or in-licensed may be challenged, invalidated, modified, revoked, circumvented, found to be unenforceable or otherwise may not provide any competitive advantage;</w:t>
      </w:r>
    </w:p>
    <w:p>
      <w:pPr>
        <w:spacing w:after="0" w:line="161" w:lineRule="exact"/>
        <w:rPr>
          <w:rFonts w:ascii="Times New Roman" w:cs="Times New Roman" w:eastAsia="Times New Roman" w:hAnsi="Times New Roman"/>
          <w:sz w:val="18"/>
          <w:szCs w:val="18"/>
          <w:color w:val="auto"/>
        </w:rPr>
      </w:pPr>
    </w:p>
    <w:p>
      <w:pPr>
        <w:ind w:left="1040" w:right="119" w:hanging="315"/>
        <w:spacing w:after="0" w:line="266"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spacing w:after="0" w:line="175" w:lineRule="exact"/>
        <w:rPr>
          <w:rFonts w:ascii="Times New Roman" w:cs="Times New Roman" w:eastAsia="Times New Roman" w:hAnsi="Times New Roman"/>
          <w:sz w:val="18"/>
          <w:szCs w:val="18"/>
          <w:color w:val="auto"/>
        </w:rPr>
      </w:pPr>
    </w:p>
    <w:p>
      <w:pPr>
        <w:ind w:left="1040" w:right="199" w:hanging="315"/>
        <w:spacing w:after="0" w:line="266"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175" w:lineRule="exact"/>
        <w:rPr>
          <w:rFonts w:ascii="Times New Roman" w:cs="Times New Roman" w:eastAsia="Times New Roman" w:hAnsi="Times New Roman"/>
          <w:sz w:val="18"/>
          <w:szCs w:val="18"/>
          <w:color w:val="auto"/>
        </w:rPr>
      </w:pPr>
    </w:p>
    <w:p>
      <w:pPr>
        <w:ind w:left="1040" w:right="199" w:hanging="315"/>
        <w:spacing w:after="0" w:line="266"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176"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patent prosecution process is also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Although we enter into non-disclosure and confidentiality agreements with parties who have access to patentable aspects of our research and development output, such as our employees, corporate collaborators, outside scientific collaborators, CROs, contract manufacturers, consultants, advisors and other third parties, any of these parties may breach such agreements and disclose such output before a patent application is filed, thereby jeopardizing our ability to seek patent protection.</w:t>
      </w:r>
    </w:p>
    <w:p>
      <w:pPr>
        <w:spacing w:after="0" w:line="192"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patents, if issued, or the patent rights that we license from others, may be challenged in the courts or patent offices in the United States and abroad. Such challenges may result in loss of exclusivity or in patent claims being narrowed, invalidated or held unenforceable, which could limit our ability to stop others from using or commercializing similar or identical products, or limit the duration of the patent protection of our products and product candidates.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188" w:lineRule="exact"/>
        <w:rPr>
          <w:sz w:val="20"/>
          <w:szCs w:val="20"/>
          <w:color w:val="auto"/>
        </w:rPr>
      </w:pPr>
    </w:p>
    <w:p>
      <w:pPr>
        <w:ind w:left="60" w:right="5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5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Despite these efforts,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third parties may still obtain this information or may come upon this or similar information independently, and we would have no right to prevent them from using that technology or information to compete with us. If any of these events occurs or if we otherwise lose</w:t>
      </w:r>
    </w:p>
    <w:p>
      <w:pPr>
        <w:sectPr>
          <w:pgSz w:w="11900" w:h="16838" w:orient="portrait"/>
          <w:cols w:equalWidth="0" w:num="1">
            <w:col w:w="9019"/>
          </w:cols>
          <w:pgMar w:left="1440" w:top="607" w:right="1440"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176" w:lineRule="exact"/>
        <w:rPr>
          <w:sz w:val="20"/>
          <w:szCs w:val="20"/>
          <w:color w:val="auto"/>
        </w:rPr>
      </w:pPr>
    </w:p>
    <w:p>
      <w:pPr>
        <w:ind w:left="60" w:right="1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spacing w:after="0" w:line="161" w:lineRule="exact"/>
        <w:rPr>
          <w:sz w:val="20"/>
          <w:szCs w:val="20"/>
          <w:color w:val="auto"/>
        </w:rPr>
      </w:pPr>
    </w:p>
    <w:p>
      <w:pPr>
        <w:ind w:left="60" w:right="59" w:firstLine="648"/>
        <w:spacing w:after="0" w:line="250" w:lineRule="auto"/>
        <w:rPr>
          <w:sz w:val="20"/>
          <w:szCs w:val="20"/>
          <w:color w:val="auto"/>
        </w:rPr>
      </w:pPr>
      <w:r>
        <w:rPr>
          <w:rFonts w:ascii="Times New Roman" w:cs="Times New Roman" w:eastAsia="Times New Roman" w:hAnsi="Times New Roman"/>
          <w:sz w:val="18"/>
          <w:szCs w:val="18"/>
          <w:color w:val="auto"/>
        </w:rPr>
        <w:t>Our commercial success depends in part on our avoiding infringement of the patents and proprietary rights of third parties. Other entities may have or obtain patents or proprietary rights that could limit our ability to make, use, sell, offer for sale or import our product candidates and future approved products or impair our competitive position. There is a substantial amount of litigation, both within and outside the United States, involving patent and other intellectual property rights in the biotechnology and pharmaceutical industries, including patent infringement lawsuits, interferences, oppositions, reexaminations, inter partes review (“IPR”) proceedings and post-grant review (“PGR”) proceedings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 As the biotechnology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we may be unaware of third-party patent applications that, if issued as patents, may be infringed by commercialization of soquelitinib, ciforadenant and mupadolimab or our other product candidates, and cannot be certain that we were the first to file a patent application related to a product candidate or technology. Moreover, because patent applications can take many years to issue, there may be currently-pending patent applications that may later result in issued patents that our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Any claims of patent infringement asserted by third parties would be time consuming and could:</w:t>
      </w:r>
    </w:p>
    <w:p>
      <w:pPr>
        <w:spacing w:after="0" w:line="197" w:lineRule="exact"/>
        <w:rPr>
          <w:sz w:val="20"/>
          <w:szCs w:val="20"/>
          <w:color w:val="auto"/>
        </w:rPr>
      </w:pPr>
    </w:p>
    <w:p>
      <w:pPr>
        <w:ind w:left="1040" w:hanging="315"/>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costly litigation;</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 the time and attention of our technical personnel and management;</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development delays;</w:t>
      </w:r>
    </w:p>
    <w:p>
      <w:pPr>
        <w:spacing w:after="0" w:line="225" w:lineRule="exact"/>
        <w:rPr>
          <w:rFonts w:ascii="Times New Roman" w:cs="Times New Roman" w:eastAsia="Times New Roman" w:hAnsi="Times New Roman"/>
          <w:sz w:val="18"/>
          <w:szCs w:val="18"/>
          <w:color w:val="auto"/>
        </w:rPr>
      </w:pPr>
    </w:p>
    <w:p>
      <w:pPr>
        <w:ind w:left="1040" w:right="679" w:hanging="315"/>
        <w:spacing w:after="0" w:line="282"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us from commercializing soquelitinib, ciforadenant and mupadolimab or our other product candidates until the asserted patent expires or is held finally invalid or not infringed in a court of law;</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develop non-infringing technology, which may not be possible on a cost-effective basis; or</w:t>
      </w:r>
    </w:p>
    <w:p>
      <w:pPr>
        <w:spacing w:after="0" w:line="225" w:lineRule="exact"/>
        <w:rPr>
          <w:rFonts w:ascii="Times New Roman" w:cs="Times New Roman" w:eastAsia="Times New Roman" w:hAnsi="Times New Roman"/>
          <w:sz w:val="18"/>
          <w:szCs w:val="18"/>
          <w:color w:val="auto"/>
        </w:rPr>
      </w:pPr>
    </w:p>
    <w:p>
      <w:pPr>
        <w:ind w:left="1040" w:right="699" w:hanging="315"/>
        <w:spacing w:after="0" w:line="282"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royalty or licensing agreements, which may not be available on commercially reasonable terms, or at all.</w:t>
      </w:r>
    </w:p>
    <w:p>
      <w:pPr>
        <w:spacing w:after="0" w:line="162"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Although no third party has asserted a claim of patent infringement against us as of the date of this report, others may hold proprietary rights that could prevent soquelitinib, ciforadenant and mupadolimab or our other product candidates from being marketed. Any patent-related legal action against us claiming damages and seeking to enjoin commercial activities relating to our product candidates or processes could subject us to potential liability for damages, including treble damages if we were determined to willfully infringe, and require us to obtain a license to manufacture or market soquelitinib, ciforadenant and mupadolimab or our other product candidates.</w:t>
      </w:r>
    </w:p>
    <w:p>
      <w:pPr>
        <w:spacing w:after="0" w:line="189" w:lineRule="exact"/>
        <w:rPr>
          <w:sz w:val="20"/>
          <w:szCs w:val="20"/>
          <w:color w:val="auto"/>
        </w:rPr>
      </w:pPr>
    </w:p>
    <w:p>
      <w:pPr>
        <w:ind w:left="60" w:right="299" w:firstLine="648"/>
        <w:spacing w:after="0" w:line="312" w:lineRule="auto"/>
        <w:rPr>
          <w:sz w:val="20"/>
          <w:szCs w:val="20"/>
          <w:color w:val="auto"/>
        </w:rPr>
      </w:pPr>
      <w:r>
        <w:rPr>
          <w:rFonts w:ascii="Times New Roman" w:cs="Times New Roman" w:eastAsia="Times New Roman" w:hAnsi="Times New Roman"/>
          <w:sz w:val="17"/>
          <w:szCs w:val="17"/>
          <w:color w:val="auto"/>
        </w:rPr>
        <w:t>Defense of these claims, regardless of their merit, would involve substantial litigation expense and would be a substantial diversion of employee resources from our business. We cannot predict whether we would prevail in any such</w:t>
      </w:r>
    </w:p>
    <w:p>
      <w:pPr>
        <w:sectPr>
          <w:pgSz w:w="11900" w:h="16838" w:orient="portrait"/>
          <w:cols w:equalWidth="0" w:num="1">
            <w:col w:w="9019"/>
          </w:cols>
          <w:pgMar w:left="1440" w:top="607"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actions or that any license required under any of these patents would be made available on commercially acceptable terms, if at all. Moreover, even if we or our future strategic partners were able to obtain a license, the rights may be nonexclusive, which could result in our competitors gaining access to the same intellectual property. In addition, we cannot be certain that we could redesign our product candidates or processes to avoid infringement, if necessary. Accordingly, an adverse determination in a judicial or administrative proceeding, or the failure to obtain necessary licenses, could prevent us from developing and commercializing soquelitinib, ciforadenant and mupadolimab or our other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p>
    <w:p>
      <w:pPr>
        <w:spacing w:after="0" w:line="186" w:lineRule="exact"/>
        <w:rPr>
          <w:sz w:val="20"/>
          <w:szCs w:val="20"/>
          <w:color w:val="auto"/>
        </w:rPr>
      </w:pPr>
    </w:p>
    <w:p>
      <w:pPr>
        <w:ind w:left="6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 consuming, and unsuccessful. Further, our issued patents could be found invalid or unenforceable if challenged in court.</w:t>
      </w:r>
    </w:p>
    <w:p>
      <w:pPr>
        <w:spacing w:after="0" w:line="175" w:lineRule="exact"/>
        <w:rPr>
          <w:sz w:val="20"/>
          <w:szCs w:val="20"/>
          <w:color w:val="auto"/>
        </w:rPr>
      </w:pPr>
    </w:p>
    <w:p>
      <w:pPr>
        <w:ind w:left="60" w:right="359" w:firstLine="648"/>
        <w:spacing w:after="0" w:line="250" w:lineRule="auto"/>
        <w:rPr>
          <w:sz w:val="20"/>
          <w:szCs w:val="20"/>
          <w:color w:val="auto"/>
        </w:rPr>
      </w:pPr>
      <w:r>
        <w:rPr>
          <w:rFonts w:ascii="Times New Roman" w:cs="Times New Roman" w:eastAsia="Times New Roman" w:hAnsi="Times New Roman"/>
          <w:sz w:val="18"/>
          <w:szCs w:val="18"/>
          <w:color w:val="auto"/>
        </w:rPr>
        <w:t>Competitors may infringe our intellectual property rights or those of our licensors. To prevent infringement or unauthorized use, we may be required to file infringement claims, which can be expensive and time-consuming. In addition, in a patent infringement proceeding, a court may decide that a patent we own or in-license is not valid, is unenforceable and/or is not infringed. If we or any of our existing or potential future collaborators were to initiate legal proceedings against a third party to enforce a patent directed at one of our product candidates, the defendant could counterclaim that our patent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or non-enablement. Grounds for an unenforceability assertion could include an allegation that someone connected with prosecution of the patent withheld relevant information from the USPTO or made a misleading statement during prosecution. Third parties may also raise similar claims before the USPTO, even outside the context of litigation. The outcome following legal assertions of invalidity and unenforceability is unpredictable, and prior art could render our patents or those of our licensors invalid. If a defendant were to prevail on a legal assertion of invalidity and/or unenforceability, we would lose at least part, and perhaps all, of the patent protection on such product candidate. Such a loss of patent protection would have a material adverse impact on our business.</w:t>
      </w:r>
    </w:p>
    <w:p>
      <w:pPr>
        <w:spacing w:after="0" w:line="195"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Interference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candidates to market.</w:t>
      </w:r>
    </w:p>
    <w:p>
      <w:pPr>
        <w:spacing w:after="0" w:line="177"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89"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w:t>
      </w:r>
    </w:p>
    <w:p>
      <w:pPr>
        <w:sectPr>
          <w:pgSz w:w="11900" w:h="16838" w:orient="portrait"/>
          <w:cols w:equalWidth="0" w:num="1">
            <w:col w:w="9019"/>
          </w:cols>
          <w:pgMar w:left="1440" w:top="60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or developments. If securities analysts or investors perceive these results to be negative, it could have a material adverse effect on the price of our common stock.</w:t>
      </w:r>
    </w:p>
    <w:p>
      <w:pPr>
        <w:spacing w:after="0" w:line="158"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 patent reform legislation could increase the uncertainties and costs surrounding the prosecution of our patent applications and the enforcement or defense of our issued patents.</w:t>
      </w:r>
    </w:p>
    <w:p>
      <w:pPr>
        <w:spacing w:after="0" w:line="159"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On September 16, 2011, the Leahy-Smith America Invents Act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to file” system in which the first inventor to file a patent application will be entitled to the patent. Third parties are allowed to submit prior art before the issuance of a patent by the USPTO, and may become involved in post-grant proceedings including opposition, derivation, reexamination, inter-partes review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w:t>
      </w:r>
    </w:p>
    <w:p>
      <w:pPr>
        <w:spacing w:after="0" w:line="186" w:lineRule="exact"/>
        <w:rPr>
          <w:sz w:val="20"/>
          <w:szCs w:val="20"/>
          <w:color w:val="auto"/>
        </w:rPr>
      </w:pPr>
    </w:p>
    <w:p>
      <w:pPr>
        <w:ind w:left="60" w:right="2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our product candidates through acquisitions and in-licenses.</w:t>
      </w:r>
    </w:p>
    <w:p>
      <w:pPr>
        <w:spacing w:after="0" w:line="171" w:lineRule="exact"/>
        <w:rPr>
          <w:sz w:val="20"/>
          <w:szCs w:val="20"/>
          <w:color w:val="auto"/>
        </w:rPr>
      </w:pPr>
    </w:p>
    <w:p>
      <w:pPr>
        <w:ind w:left="60" w:right="99" w:firstLine="648"/>
        <w:spacing w:after="0" w:line="251" w:lineRule="auto"/>
        <w:rPr>
          <w:sz w:val="20"/>
          <w:szCs w:val="20"/>
          <w:color w:val="auto"/>
        </w:rPr>
      </w:pPr>
      <w:r>
        <w:rPr>
          <w:rFonts w:ascii="Times New Roman" w:cs="Times New Roman" w:eastAsia="Times New Roman" w:hAnsi="Times New Roman"/>
          <w:sz w:val="18"/>
          <w:szCs w:val="18"/>
          <w:color w:val="auto"/>
        </w:rPr>
        <w:t>We currently have rights to the intellectual property, through licenses from third parties and under patents that we own, to develop our product candidates. Because our programs may require the use of proprietary rights held by third parties, the growth of our business will depend in part on our ability to acquire, in-license or use these proprietary rights. For example, our product candidates may require specific formulations to work effectively and efficiently and the rights to these formulations may be held by others.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w:t>
      </w:r>
    </w:p>
    <w:p>
      <w:pPr>
        <w:spacing w:after="0" w:line="197"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We have collaborated with U.S. academic institutions and may in the future collaborate with U.S. and foreign academic institutions to accelerate our preclinical research or development under written agreements with these institutions. These institutions may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program.</w:t>
      </w:r>
    </w:p>
    <w:p>
      <w:pPr>
        <w:spacing w:after="0" w:line="189" w:lineRule="exact"/>
        <w:rPr>
          <w:sz w:val="20"/>
          <w:szCs w:val="20"/>
          <w:color w:val="auto"/>
        </w:rPr>
      </w:pPr>
    </w:p>
    <w:p>
      <w:pPr>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If we are unable to successfully obtain rights to required third-party intellectual property rights or maintain the existing intellectual property rights we have, we may have to abandon development of that program and our business and financial condition could suffer.</w:t>
      </w:r>
    </w:p>
    <w:p>
      <w:pPr>
        <w:spacing w:after="0" w:line="158" w:lineRule="exact"/>
        <w:rPr>
          <w:sz w:val="20"/>
          <w:szCs w:val="20"/>
          <w:color w:val="auto"/>
        </w:rPr>
      </w:pPr>
    </w:p>
    <w:p>
      <w:pPr>
        <w:ind w:left="60" w:right="1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fail to comply with any of our obligations under existing agreements pursuant to which we license or have otherwise acquired intellectual property rights or technology, which could result in the loss of rights or technology that are material to our business.</w:t>
      </w:r>
    </w:p>
    <w:p>
      <w:pPr>
        <w:spacing w:after="0" w:line="175" w:lineRule="exact"/>
        <w:rPr>
          <w:sz w:val="20"/>
          <w:szCs w:val="20"/>
          <w:color w:val="auto"/>
        </w:rPr>
      </w:pPr>
    </w:p>
    <w:p>
      <w:pPr>
        <w:ind w:left="60" w:right="259" w:firstLine="648"/>
        <w:spacing w:after="0" w:line="281" w:lineRule="auto"/>
        <w:rPr>
          <w:sz w:val="20"/>
          <w:szCs w:val="20"/>
          <w:color w:val="auto"/>
        </w:rPr>
      </w:pPr>
      <w:r>
        <w:rPr>
          <w:rFonts w:ascii="Times New Roman" w:cs="Times New Roman" w:eastAsia="Times New Roman" w:hAnsi="Times New Roman"/>
          <w:sz w:val="17"/>
          <w:szCs w:val="17"/>
          <w:color w:val="auto"/>
        </w:rPr>
        <w:t>Licensing of intellectual property is of critical importance to our business and involves complex legal, business and scientific issues. We are party to various agreements that we depend on for rights to use various technologies that are material to our business, including intellectual property rights covering ciforadenant and methods relating to its use and manufacture. In each of these cases, our rights to use the licensed intellectual property are subject to the continuation of</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and our compliance with the terms of these agreements. Disputes may arise regarding our rights to intellectual property licensed to us from a third party, including but not limited to:</w:t>
      </w:r>
    </w:p>
    <w:p>
      <w:pPr>
        <w:spacing w:after="0" w:line="162" w:lineRule="exact"/>
        <w:rPr>
          <w:sz w:val="20"/>
          <w:szCs w:val="20"/>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225" w:lineRule="exact"/>
        <w:rPr>
          <w:rFonts w:ascii="Times New Roman" w:cs="Times New Roman" w:eastAsia="Times New Roman" w:hAnsi="Times New Roman"/>
          <w:sz w:val="18"/>
          <w:szCs w:val="18"/>
          <w:color w:val="auto"/>
        </w:rPr>
      </w:pPr>
    </w:p>
    <w:p>
      <w:pPr>
        <w:ind w:left="1040" w:right="259" w:hanging="315"/>
        <w:spacing w:after="0" w:line="282"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licensing agreement;</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225" w:lineRule="exact"/>
        <w:rPr>
          <w:rFonts w:ascii="Times New Roman" w:cs="Times New Roman" w:eastAsia="Times New Roman" w:hAnsi="Times New Roman"/>
          <w:sz w:val="18"/>
          <w:szCs w:val="18"/>
          <w:color w:val="auto"/>
        </w:rPr>
      </w:pPr>
    </w:p>
    <w:p>
      <w:pPr>
        <w:ind w:left="1040" w:right="239" w:hanging="315"/>
        <w:spacing w:after="0" w:line="282"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creation or use of intellectual property by us, alone or with our licensors and collaborators;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duration of our payment obligations;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rights upon termination of such agreement;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duration of exclusivity obligations of each party to the agreement.</w:t>
      </w:r>
    </w:p>
    <w:p>
      <w:pPr>
        <w:spacing w:after="0" w:line="225"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If disputes over intellectual property and other rights that we have licensed or acquired from third parties prevent or impair our ability to maintain our current licensing arrangements on acceptable terms, we may be unable to successfully develop and commercialize the affected product candidates. If we fail to comply with our obligations under current or future licensing agreements, these agreements may be terminated or the scope of our rights under them may be reduced and we might be unable to develop, manufacture or market any product that is licensed under these agreements.</w:t>
      </w:r>
    </w:p>
    <w:p>
      <w:pPr>
        <w:spacing w:after="0" w:line="166" w:lineRule="exact"/>
        <w:rPr>
          <w:sz w:val="20"/>
          <w:szCs w:val="20"/>
          <w:color w:val="auto"/>
        </w:rPr>
      </w:pPr>
    </w:p>
    <w:p>
      <w:pPr>
        <w:ind w:left="60" w:right="19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136"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As is common in the 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which could adversely affect our business. Even if we are successful in defending against these claims, litigation could result in substantial costs and be a distraction to our management team.</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229" w:lineRule="exact"/>
        <w:rPr>
          <w:sz w:val="20"/>
          <w:szCs w:val="20"/>
          <w:color w:val="auto"/>
        </w:rPr>
      </w:pPr>
    </w:p>
    <w:p>
      <w:pPr>
        <w:ind w:left="60" w:right="279" w:firstLine="648"/>
        <w:spacing w:after="0" w:line="253" w:lineRule="auto"/>
        <w:rPr>
          <w:sz w:val="20"/>
          <w:szCs w:val="20"/>
          <w:color w:val="auto"/>
        </w:rPr>
      </w:pPr>
      <w:r>
        <w:rPr>
          <w:rFonts w:ascii="Times New Roman" w:cs="Times New Roman" w:eastAsia="Times New Roman" w:hAnsi="Times New Roman"/>
          <w:sz w:val="18"/>
          <w:szCs w:val="18"/>
          <w:color w:val="auto"/>
        </w:rPr>
        <w:t>We may also be subject to claims that former employees, collaborators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for our product candidates, our business may be materially harmed.</w:t>
      </w:r>
    </w:p>
    <w:p>
      <w:pPr>
        <w:spacing w:after="0" w:line="229"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Depending upon the timing, duration and specifics of potential FDA marketing approval of soquelitinib, ciforadenant, mupadolimab, or other product candidates, one or more of our U.S. patents may be eligible for limited patent term restoration under the Drug Price Competition and Patent Term Restoration Act of 1984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revenue could be reduced, possibly materially.</w:t>
      </w:r>
    </w:p>
    <w:p>
      <w:pPr>
        <w:spacing w:after="0" w:line="185"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59" w:lineRule="exact"/>
        <w:rPr>
          <w:sz w:val="20"/>
          <w:szCs w:val="20"/>
          <w:color w:val="auto"/>
        </w:rPr>
      </w:pPr>
    </w:p>
    <w:p>
      <w:pPr>
        <w:ind w:left="60" w:right="119" w:firstLine="648"/>
        <w:spacing w:after="0" w:line="250" w:lineRule="auto"/>
        <w:rPr>
          <w:sz w:val="20"/>
          <w:szCs w:val="20"/>
          <w:color w:val="auto"/>
        </w:rPr>
      </w:pPr>
      <w:r>
        <w:rPr>
          <w:rFonts w:ascii="Times New Roman" w:cs="Times New Roman" w:eastAsia="Times New Roman" w:hAnsi="Times New Roman"/>
          <w:sz w:val="18"/>
          <w:szCs w:val="18"/>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financial condition or results of operations.</w:t>
      </w:r>
    </w:p>
    <w:p>
      <w:pPr>
        <w:spacing w:after="0" w:line="189" w:lineRule="exact"/>
        <w:rPr>
          <w:sz w:val="20"/>
          <w:szCs w:val="20"/>
          <w:color w:val="auto"/>
        </w:rPr>
      </w:pPr>
    </w:p>
    <w:p>
      <w:pPr>
        <w:ind w:left="60" w:right="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product candidates.</w:t>
      </w:r>
    </w:p>
    <w:p>
      <w:pPr>
        <w:spacing w:after="0" w:line="159"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In addition, Congress may pass patent reform legislation that is unfavorable to us. The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would weaken our ability to obtain new patents or to enforce our existing patents and patents we might obtain in the future.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9"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While we have issued patents directed at soquelitinib, mupadolimab and ciforadenant in the United States and certain foreign territories, and pending patent applications directed at soquelitinib, ciforadenant, mupadolimab and other product candidates in other foreign countries, filing, prosecuting and defending patents on soquelitinib, ciforadenant, mupadolimab and our other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180"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legal systems of many foreign countries do not favor the enforcement of patents and other intellectual property protection, which could make it difficult for us to stop the infringement of our patents or marketing of competing products in violation of our proprietary rights.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216" w:lineRule="exact"/>
        <w:rPr>
          <w:sz w:val="20"/>
          <w:szCs w:val="20"/>
          <w:color w:val="auto"/>
        </w:rPr>
      </w:pPr>
    </w:p>
    <w:p>
      <w:pPr>
        <w:ind w:left="60" w:right="459" w:firstLine="648"/>
        <w:spacing w:after="0" w:line="266"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76" w:lineRule="exact"/>
        <w:rPr>
          <w:sz w:val="20"/>
          <w:szCs w:val="20"/>
          <w:color w:val="auto"/>
        </w:rPr>
      </w:pPr>
    </w:p>
    <w:p>
      <w:pPr>
        <w:ind w:left="1040" w:right="259" w:hanging="315"/>
        <w:spacing w:after="0" w:line="282"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adenosine antagonists that are similar to our product candidates but that are not covered by the claims of the patents that we own or have exclusively licensed;</w:t>
      </w:r>
    </w:p>
    <w:p>
      <w:pPr>
        <w:spacing w:after="0" w:line="161" w:lineRule="exact"/>
        <w:rPr>
          <w:rFonts w:ascii="Times New Roman" w:cs="Times New Roman" w:eastAsia="Times New Roman" w:hAnsi="Times New Roman"/>
          <w:sz w:val="18"/>
          <w:szCs w:val="18"/>
          <w:color w:val="auto"/>
        </w:rPr>
      </w:pPr>
    </w:p>
    <w:p>
      <w:pPr>
        <w:ind w:left="1040" w:right="319" w:hanging="315"/>
        <w:spacing w:after="0" w:line="282"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future collaborators might not have been the first to make the inventions covered by the issued patent or pending patent application that we own or have exclusively licensed;</w:t>
      </w:r>
    </w:p>
    <w:p>
      <w:pPr>
        <w:spacing w:after="0" w:line="161" w:lineRule="exact"/>
        <w:rPr>
          <w:rFonts w:ascii="Times New Roman" w:cs="Times New Roman" w:eastAsia="Times New Roman" w:hAnsi="Times New Roman"/>
          <w:sz w:val="18"/>
          <w:szCs w:val="18"/>
          <w:color w:val="auto"/>
        </w:rPr>
      </w:pPr>
    </w:p>
    <w:p>
      <w:pPr>
        <w:ind w:left="1040" w:right="299" w:hanging="315"/>
        <w:spacing w:after="0" w:line="282"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future collaborators might not have been the first to file patent applications covering certain of our inventions;</w:t>
      </w:r>
    </w:p>
    <w:p>
      <w:pPr>
        <w:spacing w:after="0" w:line="161" w:lineRule="exact"/>
        <w:rPr>
          <w:rFonts w:ascii="Times New Roman" w:cs="Times New Roman" w:eastAsia="Times New Roman" w:hAnsi="Times New Roman"/>
          <w:sz w:val="18"/>
          <w:szCs w:val="18"/>
          <w:color w:val="auto"/>
        </w:rPr>
      </w:pPr>
    </w:p>
    <w:p>
      <w:pPr>
        <w:ind w:left="1040" w:right="359" w:hanging="315"/>
        <w:spacing w:after="0" w:line="282"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lead to issued patents;</w:t>
      </w:r>
    </w:p>
    <w:p>
      <w:pPr>
        <w:spacing w:after="0" w:line="225" w:lineRule="exact"/>
        <w:rPr>
          <w:rFonts w:ascii="Times New Roman" w:cs="Times New Roman" w:eastAsia="Times New Roman" w:hAnsi="Times New Roman"/>
          <w:sz w:val="18"/>
          <w:szCs w:val="18"/>
          <w:color w:val="auto"/>
        </w:rPr>
      </w:pPr>
    </w:p>
    <w:p>
      <w:pPr>
        <w:ind w:left="1040" w:right="239" w:hanging="315"/>
        <w:spacing w:after="0" w:line="282"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have exclusively licensed may be held invalid or unenforceable, as a result of legal challenges by our competitors;</w:t>
      </w:r>
    </w:p>
    <w:p>
      <w:pPr>
        <w:spacing w:after="0" w:line="161" w:lineRule="exact"/>
        <w:rPr>
          <w:rFonts w:ascii="Times New Roman" w:cs="Times New Roman" w:eastAsia="Times New Roman" w:hAnsi="Times New Roman"/>
          <w:sz w:val="18"/>
          <w:szCs w:val="18"/>
          <w:color w:val="auto"/>
        </w:rPr>
      </w:pPr>
    </w:p>
    <w:p>
      <w:pPr>
        <w:ind w:left="1040" w:right="139" w:hanging="315"/>
        <w:spacing w:after="0" w:line="266"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results of operations and prospects.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An active, liquid and orderly market for our common stock may not be sustained.</w:t>
      </w:r>
    </w:p>
    <w:p>
      <w:pPr>
        <w:spacing w:after="0" w:line="229" w:lineRule="exact"/>
        <w:rPr>
          <w:sz w:val="20"/>
          <w:szCs w:val="20"/>
          <w:color w:val="auto"/>
        </w:rPr>
      </w:pPr>
    </w:p>
    <w:p>
      <w:pPr>
        <w:ind w:left="60" w:right="179" w:firstLine="648"/>
        <w:spacing w:after="0" w:line="252" w:lineRule="auto"/>
        <w:rPr>
          <w:sz w:val="20"/>
          <w:szCs w:val="20"/>
          <w:color w:val="auto"/>
        </w:rPr>
      </w:pPr>
      <w:r>
        <w:rPr>
          <w:rFonts w:ascii="Times New Roman" w:cs="Times New Roman" w:eastAsia="Times New Roman" w:hAnsi="Times New Roman"/>
          <w:sz w:val="18"/>
          <w:szCs w:val="18"/>
          <w:color w:val="auto"/>
        </w:rPr>
        <w:t>Although our common stock is listed on The Nasdaq Global Market (“Nasdaq”), an active trading market for our common stock may not be sustained on Nasdaq or any other exchange in the future. The lack of an active market may impair our stockholders’ ability to sell their shares at the time they wish to sell them or at a price that they consider reasonable. If an active market for our common stock is not sustained, it may also be difficult for our stockholders to sell shares without depressing the market price for the shares or at all. An inactive market may also impair our ability to raise capital by selling shares and may impair our ability to acquire other businesses, applications or technologies using our shares as consideration, which, in turn, could materially adversely affect our business. In any event, we have a limited public float and, as a result, our common stock has been and will likely continue to be less liquid than many other listed companies and trading may be adversely affected.</w:t>
      </w:r>
    </w:p>
    <w:p>
      <w:pPr>
        <w:spacing w:after="0" w:line="187" w:lineRule="exact"/>
        <w:rPr>
          <w:sz w:val="20"/>
          <w:szCs w:val="20"/>
          <w:color w:val="auto"/>
        </w:rPr>
      </w:pPr>
    </w:p>
    <w:p>
      <w:pPr>
        <w:ind w:left="6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trading price of the shares of our common stock could be highly volatile, and investors in our common stock could incur substantial losses.</w:t>
      </w:r>
    </w:p>
    <w:p>
      <w:pPr>
        <w:spacing w:after="0" w:line="159" w:lineRule="exact"/>
        <w:rPr>
          <w:sz w:val="20"/>
          <w:szCs w:val="20"/>
          <w:color w:val="auto"/>
        </w:rPr>
      </w:pPr>
    </w:p>
    <w:p>
      <w:pPr>
        <w:ind w:left="60" w:right="219" w:firstLine="648"/>
        <w:spacing w:after="0" w:line="255" w:lineRule="auto"/>
        <w:rPr>
          <w:sz w:val="20"/>
          <w:szCs w:val="20"/>
          <w:color w:val="auto"/>
        </w:rPr>
      </w:pPr>
      <w:r>
        <w:rPr>
          <w:rFonts w:ascii="Times New Roman" w:cs="Times New Roman" w:eastAsia="Times New Roman" w:hAnsi="Times New Roman"/>
          <w:sz w:val="18"/>
          <w:szCs w:val="18"/>
          <w:color w:val="auto"/>
        </w:rPr>
        <w:t>Our stock price has been volatile. The stock market in general and the market for stock of pharmaceutical companies in particular have experienced extreme volatility that has often been unrelated to the operating performance of particular companies. The market price for our common stock may be influenced by those factors discussed in this “Risk Factors” section and many others, including:</w:t>
      </w:r>
    </w:p>
    <w:p>
      <w:pPr>
        <w:spacing w:after="0" w:line="187" w:lineRule="exact"/>
        <w:rPr>
          <w:sz w:val="20"/>
          <w:szCs w:val="20"/>
          <w:color w:val="auto"/>
        </w:rPr>
      </w:pPr>
    </w:p>
    <w:p>
      <w:pPr>
        <w:ind w:left="1040" w:hanging="315"/>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subjects in our planned clinical trials;</w:t>
      </w:r>
    </w:p>
    <w:p>
      <w:pPr>
        <w:spacing w:after="0" w:line="225" w:lineRule="exact"/>
        <w:rPr>
          <w:rFonts w:ascii="Times New Roman" w:cs="Times New Roman" w:eastAsia="Times New Roman" w:hAnsi="Times New Roman"/>
          <w:sz w:val="18"/>
          <w:szCs w:val="18"/>
          <w:color w:val="auto"/>
        </w:rPr>
      </w:pPr>
    </w:p>
    <w:p>
      <w:pPr>
        <w:ind w:left="1040" w:right="439" w:hanging="315"/>
        <w:spacing w:after="0" w:line="282"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the clinical trials, and the results of trials of our competitors or those of other companies in our market sector;</w:t>
      </w:r>
    </w:p>
    <w:p>
      <w:pPr>
        <w:spacing w:after="0" w:line="161" w:lineRule="exact"/>
        <w:rPr>
          <w:rFonts w:ascii="Times New Roman" w:cs="Times New Roman" w:eastAsia="Times New Roman" w:hAnsi="Times New Roman"/>
          <w:sz w:val="18"/>
          <w:szCs w:val="18"/>
          <w:color w:val="auto"/>
        </w:rPr>
      </w:pPr>
    </w:p>
    <w:p>
      <w:pPr>
        <w:jc w:val="both"/>
        <w:ind w:left="1040" w:right="759" w:hanging="315"/>
        <w:spacing w:after="0" w:line="266"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approval of soquelitinib, ciforadenant, mupadolimab and our other product candidates, or limitations to specific label indications or patient populations for its use, or changes or delays in the regulatory review process;</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Angel Pharmaceuticals’ ability to develop and commercialize product candidates in China;</w:t>
      </w:r>
    </w:p>
    <w:p>
      <w:pPr>
        <w:spacing w:after="0" w:line="225" w:lineRule="exact"/>
        <w:rPr>
          <w:rFonts w:ascii="Times New Roman" w:cs="Times New Roman" w:eastAsia="Times New Roman" w:hAnsi="Times New Roman"/>
          <w:sz w:val="18"/>
          <w:szCs w:val="18"/>
          <w:color w:val="auto"/>
        </w:rPr>
      </w:pPr>
    </w:p>
    <w:p>
      <w:pPr>
        <w:ind w:left="1040" w:right="239" w:hanging="315"/>
        <w:spacing w:after="0" w:line="282"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 including changes in the policies of the U.S. or Chinese governments resulting in sanctions instituted by either government;</w:t>
      </w:r>
    </w:p>
    <w:p>
      <w:pPr>
        <w:spacing w:after="0" w:line="161" w:lineRule="exact"/>
        <w:rPr>
          <w:rFonts w:ascii="Times New Roman" w:cs="Times New Roman" w:eastAsia="Times New Roman" w:hAnsi="Times New Roman"/>
          <w:sz w:val="18"/>
          <w:szCs w:val="18"/>
          <w:color w:val="auto"/>
        </w:rPr>
      </w:pPr>
    </w:p>
    <w:p>
      <w:pPr>
        <w:ind w:left="1040" w:right="479" w:hanging="315"/>
        <w:spacing w:after="0" w:line="282"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 especially in light of current reforms to the U.S. healthcare system;</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or failure of our efforts to acquire, license or develop additional product candidates;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innovations or new products developed by us or our competitors;</w:t>
      </w:r>
    </w:p>
    <w:p>
      <w:pPr>
        <w:spacing w:after="0" w:line="225" w:lineRule="exact"/>
        <w:rPr>
          <w:rFonts w:ascii="Times New Roman" w:cs="Times New Roman" w:eastAsia="Times New Roman" w:hAnsi="Times New Roman"/>
          <w:sz w:val="18"/>
          <w:szCs w:val="18"/>
          <w:color w:val="auto"/>
        </w:rPr>
      </w:pPr>
    </w:p>
    <w:p>
      <w:pPr>
        <w:ind w:left="1040" w:right="259" w:hanging="315"/>
        <w:spacing w:after="0" w:line="282"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or capital commitments;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supply or distribution delays or shortages;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our relationship with any manufacturers, suppliers, collaborators or other strategic partners;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of product sales and profitability;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040" w:hanging="315"/>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225" w:lineRule="exact"/>
        <w:rPr>
          <w:rFonts w:ascii="Times New Roman" w:cs="Times New Roman" w:eastAsia="Times New Roman" w:hAnsi="Times New Roman"/>
          <w:sz w:val="18"/>
          <w:szCs w:val="18"/>
          <w:color w:val="auto"/>
        </w:rPr>
      </w:pPr>
    </w:p>
    <w:p>
      <w:pPr>
        <w:ind w:left="1040" w:right="1299" w:hanging="315"/>
        <w:spacing w:after="0" w:line="282" w:lineRule="auto"/>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sector and issuance of securities analysts’ reports or recommendations;</w:t>
      </w:r>
    </w:p>
    <w:p>
      <w:pPr>
        <w:spacing w:after="0" w:line="161" w:lineRule="exact"/>
        <w:rPr>
          <w:rFonts w:ascii="Times New Roman" w:cs="Times New Roman" w:eastAsia="Times New Roman" w:hAnsi="Times New Roman"/>
          <w:sz w:val="18"/>
          <w:szCs w:val="18"/>
          <w:color w:val="auto"/>
        </w:rPr>
      </w:pPr>
    </w:p>
    <w:p>
      <w:pPr>
        <w:ind w:left="1040" w:right="419" w:hanging="315"/>
        <w:spacing w:after="0" w:line="266" w:lineRule="auto"/>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political instability, natural disasters, war and/or events of terrorism, such as the military conflict between Ukraine and Russia, and the corresponding tensions created from such conflict between Russia, the United States and countries in Europe as well as other countries such as China;</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obtain additional funding on favorable terms, or at all;</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stock by insiders and stockholders;</w:t>
      </w:r>
    </w:p>
    <w:p>
      <w:pPr>
        <w:spacing w:after="0" w:line="225" w:lineRule="exact"/>
        <w:rPr>
          <w:rFonts w:ascii="Times New Roman" w:cs="Times New Roman" w:eastAsia="Times New Roman" w:hAnsi="Times New Roman"/>
          <w:sz w:val="18"/>
          <w:szCs w:val="18"/>
          <w:color w:val="auto"/>
        </w:rPr>
      </w:pPr>
    </w:p>
    <w:p>
      <w:pPr>
        <w:ind w:left="1040" w:right="299" w:hanging="315"/>
        <w:spacing w:after="0" w:line="266" w:lineRule="auto"/>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other events or factors such as increased interest rates, inflationary pressures and the occurrence of a recession or even depression, many of which are beyond our control;</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product liability or other litigation against us.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a result of this volatility, investors may experience losses on their investment in our common stock.</w:t>
      </w:r>
    </w:p>
    <w:p>
      <w:pPr>
        <w:spacing w:after="0" w:line="225"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In addition, in the past, stockholders have initiated class action lawsuits against pharmaceutical companies following periods of volatility in the market prices of these companies’ stock. Such litigation, if instituted against us, could cause us to incur substantial costs and divert management’s attention and resources, which could have a material adverse effect on our business, financial condition and results of operations.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If we fail to adhere to the listing requirements of the Nasdaq Global Market our common stock could be delisted.</w:t>
      </w:r>
    </w:p>
    <w:p>
      <w:pPr>
        <w:spacing w:after="0" w:line="229"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If we are unable to comply with the listing requirements of the Nasdaq Global Market, our stock could be delisted for such failure. If our common stock is delisted from Nasdaq, we could be required to list on the over-the-counter, or OTC, market, which may adversely affect the price and trading liquidity of our common stock. Delisting from the Nasdaq may have other negative results, including the potential loss of confidence in us by employees and partners, the loss of institutional investor interest, fewer business development opportunities and greater difficulty in obtaining financing on favorable terms or at all.</w:t>
      </w:r>
    </w:p>
    <w:p>
      <w:pPr>
        <w:spacing w:after="0" w:line="185" w:lineRule="exact"/>
        <w:rPr>
          <w:sz w:val="20"/>
          <w:szCs w:val="20"/>
          <w:color w:val="auto"/>
        </w:rPr>
      </w:pPr>
    </w:p>
    <w:p>
      <w:pPr>
        <w:ind w:left="60" w:right="7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45"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As of March 31, 2024, our executive officers, directors, holders of 5% or more of our capital stock based on publicly available filings made with the SEC and their respective affiliates beneficially owned approximately 25% of our outstanding common stock. Therefore, these stockholders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our stockholders may feel are in their best interest.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common stock, and, consequently, our stockholders’ ability to achieve a return on their investment will depend on appreciation, if any, in the price of our common stock.</w:t>
      </w:r>
    </w:p>
    <w:p>
      <w:pPr>
        <w:spacing w:after="0" w:line="159"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 There is no guarantee that shares of our common stock will appreciate in value or even maintain the price at which stockholders have purchased their shares.</w:t>
      </w:r>
    </w:p>
    <w:p>
      <w:pPr>
        <w:spacing w:after="0" w:line="170" w:lineRule="exact"/>
        <w:rPr>
          <w:sz w:val="20"/>
          <w:szCs w:val="20"/>
          <w:color w:val="auto"/>
        </w:rPr>
      </w:pPr>
    </w:p>
    <w:p>
      <w:pPr>
        <w:ind w:left="60" w:right="239" w:firstLine="648"/>
        <w:spacing w:after="0" w:line="252" w:lineRule="auto"/>
        <w:rPr>
          <w:sz w:val="20"/>
          <w:szCs w:val="20"/>
          <w:color w:val="auto"/>
        </w:rPr>
      </w:pPr>
      <w:r>
        <w:rPr>
          <w:rFonts w:ascii="Times New Roman" w:cs="Times New Roman" w:eastAsia="Times New Roman" w:hAnsi="Times New Roman"/>
          <w:sz w:val="18"/>
          <w:szCs w:val="18"/>
          <w:color w:val="auto"/>
        </w:rPr>
        <w:t>To the extent that we raise additional capital by issuing equity securities, the share ownership of existing stockholders will be diluted. For example, we entered into the 2023 Sales Agreement with Jefferies to sell shares of our common stock, from time-to-time, with aggregate gross sales proceeds of up to $90,000,000 through an at-the-market equity offering program under which Jefferies will act as our sales agent. As of March 31, 2024, we had sold 2,461,903 shares of common stock for net proceeds of $7.8 million under the 2023 Sales Agreement. As of March 31, 2024, $81.9 million remained for sale under the 2023 Sales Agreement. On May 1, 2024, we amended the 2023 Sales Agreement to decrease the aggregate gross sales proceeds from $90.0 million to $8.2 million, which decreased the amount available for sale under the 2023 Sales Agreement from $81.9 million to $100,000.</w:t>
      </w:r>
    </w:p>
    <w:p>
      <w:pPr>
        <w:spacing w:after="0" w:line="188"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by our existing stockholders in the public market could cause our stock price to fall.</w:t>
      </w:r>
    </w:p>
    <w:p>
      <w:pPr>
        <w:spacing w:after="0" w:line="15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Moreover, certain holders of shares of our common stock have rights, subject to certain conditions, to require us to file registration statements covering their shares or to include their shares in registration statements that we may file for ourselves or other stockholders. We have registered and intend to continue to register all shares of common stock that we may issue under our equity compensation plans. Once we register these shares, they can be freely sold in the public market upon issuance, subject to volume limitations applicable to affiliates.</w:t>
      </w:r>
    </w:p>
    <w:p>
      <w:pPr>
        <w:spacing w:after="0" w:line="183"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the reduced reporting requirements applicable to smaller reporting companies may make our common stock less attractive to investors.</w:t>
      </w:r>
    </w:p>
    <w:p>
      <w:pPr>
        <w:spacing w:after="0" w:line="159"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7"/>
          <w:szCs w:val="17"/>
          <w:color w:val="auto"/>
        </w:rPr>
        <w:t>We are a smaller reporting company, which allows us to take advantage of exemptions from various reporting requirements that are applicable to other public companies that are not smaller reporting companies, including not being required to comply with the auditor attestation requirements of Section 404 of the Sarbanes-Oxley Act of 2002, as amended, reduced disclosure obligations regarding executive compensation in our Annual Report and our periodic reports and proxy statements and providing only two years of audited financial statements in our Annual Report and our periodic reports. We will remain a smaller reporting company until (a) the aggregate market value of our outstanding common stock held by non-affiliates as of the last business day our most recently completed second fiscal quarter exceeds $250 million or</w:t>
      </w:r>
    </w:p>
    <w:p>
      <w:pPr>
        <w:ind w:left="60" w:right="119" w:hanging="10"/>
        <w:spacing w:after="0" w:line="249" w:lineRule="auto"/>
        <w:tabs>
          <w:tab w:leader="none" w:pos="3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we have over $100 million in annual revenues and (2) the aggregate market value of our outstanding common stock held by non-affiliates as of the last business day our most recently completed second fiscal quarter exceeds $700 million. We cannot predict whether investors will find our common stock less attractive if we rely on certain or all of these exemptions. If some investors find our common stock less attractive as a result, there may be a less active trading market for our common stock and our stock price may be more volatile and may decline.</w:t>
      </w:r>
    </w:p>
    <w:p>
      <w:pPr>
        <w:spacing w:after="0" w:line="186" w:lineRule="exact"/>
        <w:rPr>
          <w:sz w:val="20"/>
          <w:szCs w:val="20"/>
          <w:color w:val="auto"/>
        </w:rPr>
      </w:pPr>
    </w:p>
    <w:p>
      <w:pPr>
        <w:ind w:left="60" w:right="1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 over financial reporting, our ability to produce accurate and timely condensed consolidated financial statements could be impaired, investors may lose confidence in our financial reporting and the trading price of our common stock may decline.</w:t>
      </w:r>
    </w:p>
    <w:p>
      <w:pPr>
        <w:spacing w:after="0" w:line="175" w:lineRule="exact"/>
        <w:rPr>
          <w:sz w:val="20"/>
          <w:szCs w:val="20"/>
          <w:color w:val="auto"/>
        </w:rPr>
      </w:pPr>
    </w:p>
    <w:p>
      <w:pPr>
        <w:ind w:left="60" w:right="599" w:firstLine="648"/>
        <w:spacing w:after="0" w:line="268" w:lineRule="auto"/>
        <w:rPr>
          <w:sz w:val="20"/>
          <w:szCs w:val="20"/>
          <w:color w:val="auto"/>
        </w:rPr>
      </w:pPr>
      <w:r>
        <w:rPr>
          <w:rFonts w:ascii="Times New Roman" w:cs="Times New Roman" w:eastAsia="Times New Roman" w:hAnsi="Times New Roman"/>
          <w:sz w:val="17"/>
          <w:szCs w:val="17"/>
          <w:color w:val="auto"/>
        </w:rPr>
        <w:t>Pursuant to Section 404 of Sarbanes-Oxley, if we are an accelerated filer, our independent registered public accounting firm will be required to attest to the effectiveness of our internal control over financial reporting. The</w:t>
      </w:r>
    </w:p>
    <w:p>
      <w:pPr>
        <w:ind w:left="60" w:right="279"/>
        <w:spacing w:after="0" w:line="260" w:lineRule="auto"/>
        <w:rPr>
          <w:sz w:val="20"/>
          <w:szCs w:val="20"/>
          <w:color w:val="auto"/>
        </w:rPr>
      </w:pPr>
      <w:r>
        <w:rPr>
          <w:rFonts w:ascii="Times New Roman" w:cs="Times New Roman" w:eastAsia="Times New Roman" w:hAnsi="Times New Roman"/>
          <w:sz w:val="18"/>
          <w:szCs w:val="18"/>
          <w:color w:val="auto"/>
        </w:rPr>
        <w:t>rules governing the standards that must be met for management to assess our internal control over financial reporting are complex and require significant documentation, testing and possible remediation. To continue to comply with the</w:t>
      </w:r>
    </w:p>
    <w:p>
      <w:pPr>
        <w:sectPr>
          <w:pgSz w:w="11900" w:h="16838" w:orient="portrait"/>
          <w:cols w:equalWidth="0" w:num="1">
            <w:col w:w="9019"/>
          </w:cols>
          <w:pgMar w:left="1440" w:top="607"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requirements of being a reporting company under the Exchange Act, as we continue to grow, we will need to upgrade our systems including information technology; implement additional financial and management controls, reporting systems and procedures; and hire additional accounting and finance staff. If we or, if required, our auditors are unable to conclude that our internal control over financial reporting is effective, investors may lose confidence in our financial reporting and the trading price of our common stock may decline.</w:t>
      </w:r>
    </w:p>
    <w:p>
      <w:pPr>
        <w:spacing w:after="0" w:line="183"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We cannot assure our stockholders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 its Section 404 reviews,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9" w:lineRule="exact"/>
        <w:rPr>
          <w:sz w:val="20"/>
          <w:szCs w:val="20"/>
          <w:color w:val="auto"/>
        </w:rPr>
      </w:pPr>
    </w:p>
    <w:p>
      <w:pPr>
        <w:ind w:left="60" w:right="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159"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significantly reduce the value of our shares to a potential acquiror or delay or prevent changes in control or changes in our management without the consent of our board of directors. The provisions in our charter documents include the following:</w:t>
      </w:r>
    </w:p>
    <w:p>
      <w:pPr>
        <w:spacing w:after="0" w:line="180" w:lineRule="exact"/>
        <w:rPr>
          <w:sz w:val="20"/>
          <w:szCs w:val="20"/>
          <w:color w:val="auto"/>
        </w:rPr>
      </w:pPr>
    </w:p>
    <w:p>
      <w:pPr>
        <w:ind w:left="1040" w:right="99" w:hanging="315"/>
        <w:spacing w:after="0" w:line="266"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may delay the ability of stockholders to change the membership of a majority of our board of directors;</w:t>
      </w:r>
    </w:p>
    <w:p>
      <w:pPr>
        <w:spacing w:after="0" w:line="189" w:lineRule="exact"/>
        <w:rPr>
          <w:rFonts w:ascii="Times New Roman" w:cs="Times New Roman" w:eastAsia="Times New Roman" w:hAnsi="Times New Roman"/>
          <w:sz w:val="18"/>
          <w:szCs w:val="18"/>
          <w:color w:val="auto"/>
        </w:rPr>
      </w:pPr>
    </w:p>
    <w:p>
      <w:pPr>
        <w:ind w:left="1040" w:right="379" w:hanging="315"/>
        <w:spacing w:after="0" w:line="266"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189" w:lineRule="exact"/>
        <w:rPr>
          <w:rFonts w:ascii="Times New Roman" w:cs="Times New Roman" w:eastAsia="Times New Roman" w:hAnsi="Times New Roman"/>
          <w:sz w:val="18"/>
          <w:szCs w:val="18"/>
          <w:color w:val="auto"/>
        </w:rPr>
      </w:pPr>
    </w:p>
    <w:p>
      <w:pPr>
        <w:ind w:left="1040" w:right="219" w:hanging="315"/>
        <w:spacing w:after="0" w:line="255"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unless the board of directors grants such right to the stockholders, to elect a director to fill a vacancy created by the expansion of the board of directors or the resignation, death or removal of a director, which prevents stockholders from being able to fill vacancies on our board of directors;</w:t>
      </w:r>
    </w:p>
    <w:p>
      <w:pPr>
        <w:spacing w:after="0" w:line="186" w:lineRule="exact"/>
        <w:rPr>
          <w:rFonts w:ascii="Times New Roman" w:cs="Times New Roman" w:eastAsia="Times New Roman" w:hAnsi="Times New Roman"/>
          <w:sz w:val="18"/>
          <w:szCs w:val="18"/>
          <w:color w:val="auto"/>
        </w:rPr>
      </w:pPr>
    </w:p>
    <w:p>
      <w:pPr>
        <w:ind w:left="1040" w:right="139" w:hanging="315"/>
        <w:spacing w:after="0" w:line="266"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at least 66 2/3% of the shares entitled to vote to remove a director for cause, and the prohibition on removal of directors without cause;</w:t>
      </w:r>
    </w:p>
    <w:p>
      <w:pPr>
        <w:spacing w:after="0" w:line="189" w:lineRule="exact"/>
        <w:rPr>
          <w:rFonts w:ascii="Times New Roman" w:cs="Times New Roman" w:eastAsia="Times New Roman" w:hAnsi="Times New Roman"/>
          <w:sz w:val="18"/>
          <w:szCs w:val="18"/>
          <w:color w:val="auto"/>
        </w:rPr>
      </w:pPr>
    </w:p>
    <w:p>
      <w:pPr>
        <w:ind w:left="1040" w:right="99" w:hanging="315"/>
        <w:spacing w:after="0" w:line="258"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196" w:lineRule="exact"/>
        <w:rPr>
          <w:rFonts w:ascii="Times New Roman" w:cs="Times New Roman" w:eastAsia="Times New Roman" w:hAnsi="Times New Roman"/>
          <w:sz w:val="18"/>
          <w:szCs w:val="18"/>
          <w:color w:val="auto"/>
        </w:rPr>
      </w:pPr>
    </w:p>
    <w:p>
      <w:pPr>
        <w:ind w:left="1040" w:right="239" w:hanging="315"/>
        <w:spacing w:after="0" w:line="266"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alter our amended and restated bylaws without obtaining stockholder approval;</w:t>
      </w:r>
    </w:p>
    <w:p>
      <w:pPr>
        <w:spacing w:after="0" w:line="189" w:lineRule="exact"/>
        <w:rPr>
          <w:rFonts w:ascii="Times New Roman" w:cs="Times New Roman" w:eastAsia="Times New Roman" w:hAnsi="Times New Roman"/>
          <w:sz w:val="18"/>
          <w:szCs w:val="18"/>
          <w:color w:val="auto"/>
        </w:rPr>
      </w:pPr>
    </w:p>
    <w:p>
      <w:pPr>
        <w:ind w:left="1040" w:right="99" w:hanging="315"/>
        <w:spacing w:after="0" w:line="258"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at least 66 2/3% of the shares entitled to vote to adopt, amend or repeal our amended and restated bylaws or repeal the provisions of our amended and restated certificate of incorporation regarding the election and removal of directors;</w:t>
      </w:r>
    </w:p>
    <w:p>
      <w:pPr>
        <w:spacing w:after="0" w:line="196" w:lineRule="exact"/>
        <w:rPr>
          <w:rFonts w:ascii="Times New Roman" w:cs="Times New Roman" w:eastAsia="Times New Roman" w:hAnsi="Times New Roman"/>
          <w:sz w:val="18"/>
          <w:szCs w:val="18"/>
          <w:color w:val="auto"/>
        </w:rPr>
      </w:pPr>
    </w:p>
    <w:p>
      <w:pPr>
        <w:ind w:left="1040" w:right="479" w:hanging="315"/>
        <w:spacing w:after="0" w:line="266"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040" w:right="559" w:hanging="315"/>
        <w:spacing w:after="0" w:line="282" w:lineRule="auto"/>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exclusive forum provision providing that the Court of Chancery of the State of Delaware will be the exclusive forum for certain actions and proceedings;</w:t>
      </w:r>
    </w:p>
    <w:p>
      <w:pPr>
        <w:spacing w:after="0" w:line="161" w:lineRule="exact"/>
        <w:rPr>
          <w:rFonts w:ascii="Times New Roman" w:cs="Times New Roman" w:eastAsia="Times New Roman" w:hAnsi="Times New Roman"/>
          <w:sz w:val="18"/>
          <w:szCs w:val="18"/>
          <w:color w:val="auto"/>
        </w:rPr>
      </w:pPr>
    </w:p>
    <w:p>
      <w:pPr>
        <w:ind w:left="1040" w:right="179" w:hanging="315"/>
        <w:spacing w:after="0" w:line="266" w:lineRule="auto"/>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the board of directors, which may delay the ability of our stockholders to force consideration of a proposal or to take action, including the removal of directors; and</w:t>
      </w:r>
    </w:p>
    <w:p>
      <w:pPr>
        <w:spacing w:after="0" w:line="175" w:lineRule="exact"/>
        <w:rPr>
          <w:rFonts w:ascii="Times New Roman" w:cs="Times New Roman" w:eastAsia="Times New Roman" w:hAnsi="Times New Roman"/>
          <w:sz w:val="18"/>
          <w:szCs w:val="18"/>
          <w:color w:val="auto"/>
        </w:rPr>
      </w:pPr>
    </w:p>
    <w:p>
      <w:pPr>
        <w:ind w:left="1040" w:right="99" w:hanging="315"/>
        <w:spacing w:after="0" w:line="261" w:lineRule="auto"/>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66"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76" w:lineRule="exact"/>
        <w:rPr>
          <w:sz w:val="20"/>
          <w:szCs w:val="20"/>
          <w:color w:val="auto"/>
        </w:rPr>
      </w:pPr>
    </w:p>
    <w:p>
      <w:pPr>
        <w:ind w:left="60" w:right="9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and amended and restated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spacing w:after="0" w:line="184" w:lineRule="exact"/>
        <w:rPr>
          <w:sz w:val="20"/>
          <w:szCs w:val="20"/>
          <w:color w:val="auto"/>
        </w:rPr>
      </w:pPr>
    </w:p>
    <w:p>
      <w:pPr>
        <w:ind w:left="60" w:right="99" w:firstLine="648"/>
        <w:spacing w:after="0" w:line="25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This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this provision in our amended and restated certificate of incorporation and amended and restated bylaws to be inapplicable or unenforceable in an action, we may incur additional costs associated with resolving such action in other jurisdictions, which could adversely affect our business and financial condition. This provision would not apply to suits brought to enforce a duty or liability created by the Exchange Act or any other claim for which the U.S. federal courts have exclusive jurisdiction.</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5" w:lineRule="exact"/>
        <w:rPr>
          <w:sz w:val="20"/>
          <w:szCs w:val="20"/>
          <w:color w:val="auto"/>
        </w:rPr>
      </w:pPr>
    </w:p>
    <w:p>
      <w:pPr>
        <w:ind w:left="60" w:right="5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operate in foreign markets, where we would be subject to additional regulatory burdens and other risks and uncertainties.</w:t>
      </w:r>
    </w:p>
    <w:p>
      <w:pPr>
        <w:spacing w:after="0" w:line="171"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Our future growth may depend, in part, on our ability to develop and commercialize our product candidates in foreign markets. We are not permitted to market or promote any of our product candidates before we receive regulatory approval from applicable regulatory authorities in foreign markets, and we may never receive such regulatory approvals for any of our product candidates. To obtain separate regulatory approval in many other countries we must comply with numerous and varying regulatory requirements regarding safety and efficacy and governing, among other things, clinical trials, commercial sales, pricing and distribution of our product candidates. If we obtain regulatory approval of our product candidates and ultimately commercialize our product candidates in foreign markets, we would be subject to additional risks and uncertainties, including the burden of complying with complex and changing foreign regulatory, tax, accounting and legal requirements and the reduced protection of intellectual property rights in some foreign countries.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right="6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 U.S. tax legislation and future changes to applicable U.S. or foreign tax laws and regulations may have a material adverse effect on our business, financial condition and results of operations.</w:t>
      </w:r>
    </w:p>
    <w:p>
      <w:pPr>
        <w:spacing w:after="0" w:line="159" w:lineRule="exact"/>
        <w:rPr>
          <w:sz w:val="20"/>
          <w:szCs w:val="20"/>
          <w:color w:val="auto"/>
        </w:rPr>
      </w:pPr>
    </w:p>
    <w:p>
      <w:pPr>
        <w:jc w:val="both"/>
        <w:ind w:left="60" w:right="99" w:firstLine="648"/>
        <w:spacing w:after="0" w:line="272" w:lineRule="auto"/>
        <w:rPr>
          <w:sz w:val="20"/>
          <w:szCs w:val="20"/>
          <w:color w:val="auto"/>
        </w:rPr>
      </w:pPr>
      <w:r>
        <w:rPr>
          <w:rFonts w:ascii="Times New Roman" w:cs="Times New Roman" w:eastAsia="Times New Roman" w:hAnsi="Times New Roman"/>
          <w:sz w:val="17"/>
          <w:szCs w:val="17"/>
          <w:color w:val="auto"/>
        </w:rPr>
        <w:t>We are subject to income and other taxes in the U.S. and foreign jurisdictions. Changes in laws and policy relating to taxes or trade may have an adverse effect on our business, financial condition and results of operations. For example, the U.S. government recently enacted significant tax reform, and certain provisions of the new law may adversely affect us.</w:t>
      </w:r>
    </w:p>
    <w:p>
      <w:pPr>
        <w:spacing w:after="0" w:line="2" w:lineRule="exact"/>
        <w:rPr>
          <w:sz w:val="20"/>
          <w:szCs w:val="20"/>
          <w:color w:val="auto"/>
        </w:rPr>
      </w:pPr>
    </w:p>
    <w:p>
      <w:pPr>
        <w:ind w:left="60" w:right="79"/>
        <w:spacing w:after="0" w:line="249" w:lineRule="auto"/>
        <w:rPr>
          <w:sz w:val="20"/>
          <w:szCs w:val="20"/>
          <w:color w:val="auto"/>
        </w:rPr>
      </w:pPr>
      <w:r>
        <w:rPr>
          <w:rFonts w:ascii="Times New Roman" w:cs="Times New Roman" w:eastAsia="Times New Roman" w:hAnsi="Times New Roman"/>
          <w:sz w:val="18"/>
          <w:szCs w:val="18"/>
          <w:color w:val="auto"/>
        </w:rPr>
        <w:t>Changes include, but are not limited to, a federal corporate tax rate decrease from 35% to 21% for tax years beginning after December 31, 2017, the transition of U.S. international taxation from a worldwide tax system to a more generally territorial system, and a one-time transition tax on the mandatory deemed repatriation of foreign earnings. The legislation is unclear in many respects and could be subject to potential amendments and technical corrections, and will be subject to interpretations and implementing regulations by the Treasury and Internal Revenue Service, any of which could mitigate or increase certain adverse effects of the legislation. In addition, it is unclear how these U.S. federal income tax changes will affect state and local taxation. Generally, future changes in applicable U.S. or foreign tax laws and regulations, or their interpretation and application could have an adverse effect on our business, financial conditions and results of operations.</w:t>
      </w:r>
    </w:p>
    <w:p>
      <w:pPr>
        <w:spacing w:after="0" w:line="190" w:lineRule="exact"/>
        <w:rPr>
          <w:sz w:val="20"/>
          <w:szCs w:val="20"/>
          <w:color w:val="auto"/>
        </w:rPr>
      </w:pPr>
    </w:p>
    <w:p>
      <w:pPr>
        <w:ind w:left="60" w:right="35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information technology systems, or those of any of our existing or potential future collaborators, CROs or other contractors or consultants, may fail or suffer security breaches, which could result in a material disruption of our product development programs.</w:t>
      </w:r>
    </w:p>
    <w:p>
      <w:pPr>
        <w:spacing w:after="0" w:line="182" w:lineRule="exact"/>
        <w:rPr>
          <w:sz w:val="20"/>
          <w:szCs w:val="20"/>
          <w:color w:val="auto"/>
        </w:rPr>
      </w:pPr>
    </w:p>
    <w:p>
      <w:pPr>
        <w:ind w:left="60" w:right="179" w:firstLine="648"/>
        <w:spacing w:after="0" w:line="252" w:lineRule="auto"/>
        <w:rPr>
          <w:sz w:val="20"/>
          <w:szCs w:val="20"/>
          <w:color w:val="auto"/>
        </w:rPr>
      </w:pPr>
      <w:r>
        <w:rPr>
          <w:rFonts w:ascii="Times New Roman" w:cs="Times New Roman" w:eastAsia="Times New Roman" w:hAnsi="Times New Roman"/>
          <w:sz w:val="18"/>
          <w:szCs w:val="18"/>
          <w:color w:val="auto"/>
        </w:rPr>
        <w:t>We maintain sensitive company data on our information technology systems, including our intellectual property, proprietary business information, clinical trial data, and personal information (collectively, “Confidential Information”) of customers and our employees and contractors. We face a number of threats to our networks from unauthorized access, security breaches and other system disruptions. Despite the implementation of security measures, our information technology and other internal computer systems and those of our current and any future CROs and other contractors, consultants and collaborators are vulnerable to damage from cyberattacks, “phishing” attacks, computer viruses and malware (e.g., ransomware), malicious code, misconfigurations, “bugs” or other vulnerabilities, unauthorized access, natural disasters, terrorism, war and telecommunication and electrical failures.</w:t>
      </w:r>
    </w:p>
    <w:p>
      <w:pPr>
        <w:spacing w:after="0" w:line="192"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Attacks upon information technology systems are increasing in their frequency, levels of persistence, sophistication and intensity, and are being conducted by sophisticated and organized groups and individuals with a wide range of motives and expertise. Furthermore, because the techniques used to obtain unauthorized access to, or to sabotage or disrupt,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As a result of the continued hybrid working environment, we may also face increased cybersecurity risks due to our reliance on internet technology and the number of our and our service providers’ employees who are working remotely, which may create additional opportunities for cybercriminals to exploit vulnerabilities. There can also be no assurance that our and our current and future CROs’ and other contractors’, consultants’ and collaborators’ cybersecurity risk management program and processes, including policies, controls or procedures, will be fully implemented, complied with or effective in protecting our systems, networks and Confidential Information.</w:t>
      </w:r>
    </w:p>
    <w:p>
      <w:pPr>
        <w:spacing w:after="0" w:line="194"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We and certain of our service providers are from time to time, subject to cyberattacks and security incidents. While we do not believe that we have experienced any significant system failure, accident or security breach to date, any such security breach may compromise Confidential Information stored on our networks, or those of our vendors, and may result in significant data losses or theft of our Confidential Information. Further, if such an event were to occur and cause interruptions in our operations, it could result in a material disruption of our development programs and our business operations, whether due to a loss of our trade secrets or other similar disruptions. For example, the loss of clinical trial data from completed or future clinical trials could result in delays in our regulatory approval efforts and significantly increase our costs to recover or reproduce the data. In addition, such a breach may require notification to governmental agencies, or affected individuals pursuant to applicable data privacy and security laws. We would also be exposed to a risk of loss, including financial assets or litigation and potential liability, which could materially adversely</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affect our business, reputation, financial condition, results of operations and prospects. We also rely on third parties to manufacture our product candidates, and similar events relating to their computer systems could also have a material adverse effect on our business. To the extent that any disruption or security breach were to result in a loss of, or damage to, our data or applications, or inappropriate disclosure of Confidential Information, we could incur liability and the further development and commercialization of our product candidates could be delayed. Any adverse impact to the availability, integrity or confidentiality of our or third-party systems or Confidential Information can result in legal claims or proceedings (such as class actions), regulatory investigations and enforcement actions, fines and penalties, negative reputational impacts that cause us to lose existing or future customers, and/or significant incident response, system restoration or remediation and future compliance costs. Our existing general liability and cyber liability insurance policies may not cover, or may cover only a portion of, any potential claims related to security breaches to which we are exposed, or may not be adequate to indemnify us for all or any portion of liabilities that may be imposed.</w:t>
      </w:r>
    </w:p>
    <w:p>
      <w:pPr>
        <w:spacing w:after="0" w:line="184"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and failures to comply with U.S. and foreign privacy and data protection laws, regulations and standards may adversely affect our business, operations and financial performance.</w:t>
      </w:r>
    </w:p>
    <w:p>
      <w:pPr>
        <w:spacing w:after="0" w:line="159"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We are subject to or affected by numerous federal, state and foreign laws and regulations, as well as regulatory guidance, governing the collection, use, disclosure, retention, and security of personal data, such as information that we collect about patients and healthcare providers in connection with clinical trials in the United States and abroad. The global data protection landscape is rapidly evolving, and implementation standards and enforcement practices are likely to remain uncertain for the foreseeable future. This evolution may create uncertainty in our business, affect our or our collaborators’, service providers’ and contractors’ ability to operate in certain jurisdictions or to collect, store, transfer use and share personal information, necessitate the acceptance of more onerous obligations in our contracts, result in liability or impose additional costs on us.</w:t>
      </w:r>
    </w:p>
    <w:p>
      <w:pPr>
        <w:spacing w:after="0" w:line="192"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 the U.S., HIPAA imposes, among other things, certain standards relating to the privacy, security, transmission and breach reporting of individually identifiable health information. Certain states have also adopted comparable privacy and security laws and regulations, which govern the privacy, processing and protection of health-related and other personal information. Depending on the facts and circumstances, we could be subject to criminal penalties if we knowingly obtain, use, or disclose individually identifiable health information that was provided to us by a HIPAA-covered entity in a manner that is not authorized or permitted by HIPAA.</w:t>
      </w:r>
    </w:p>
    <w:p>
      <w:pPr>
        <w:spacing w:after="0" w:line="189"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Further, the California Consumer Privacy Act, as amended by the California Privacy Rights Act (collectively, the “CCPA”) requires covered businesses that process the personal information of California residents to, among other things: provide certain disclosures to California residents regarding the business’s collection, use, and disclosure of their personal information; receive and respond to requests from California residents to access, delete, and correct their personal information, or to opt out of certain disclosures of their personal information, and enter into specific contractual provisions with service providers that process California resident personal information on the business’s behalf. Similar laws have been proposed in other states and are continuing to be proposed at the state and federal level, and if passed, such laws may have potentially conflicting requirements that would make compliance challenging.</w:t>
      </w:r>
    </w:p>
    <w:p>
      <w:pPr>
        <w:spacing w:after="0" w:line="192" w:lineRule="exact"/>
        <w:rPr>
          <w:sz w:val="20"/>
          <w:szCs w:val="20"/>
          <w:color w:val="auto"/>
        </w:rPr>
      </w:pPr>
    </w:p>
    <w:p>
      <w:pPr>
        <w:ind w:left="60" w:right="279" w:firstLine="648"/>
        <w:spacing w:after="0" w:line="266" w:lineRule="auto"/>
        <w:rPr>
          <w:sz w:val="20"/>
          <w:szCs w:val="20"/>
          <w:color w:val="auto"/>
        </w:rPr>
      </w:pPr>
      <w:r>
        <w:rPr>
          <w:rFonts w:ascii="Times New Roman" w:cs="Times New Roman" w:eastAsia="Times New Roman" w:hAnsi="Times New Roman"/>
          <w:sz w:val="17"/>
          <w:szCs w:val="17"/>
          <w:color w:val="auto"/>
        </w:rPr>
        <w:t>Our operations abroad may also be subject to increased scrutiny or attention from data protection authorities. Many countries in these regions have established or are in the process of establishing privacy and data security legal frameworks with which we, our collaborators, service providers, including our CRO, and contractors must comply. For example, the General Data Protection Regulation (the “GDPR”), which went into effect in May 2018, imposes strict requirements for processing the personal data of individuals within the EEA, including clinical trial data. The GDPR has and will continue to increase compliance burdens on us, including by mandating potentially burdensome documentation requirements and granting certain rights to individuals to control how we collect, use, disclose, retain and process information about them. The processing of sensitive personal data, such as physical health condition, may impose heightened compliance burdens under the GDPR and is a topic of active interest among foreign regulators. The GDPR provides for robust regulatory enforcement and fines of up to €20 million or 4% of the annual global revenue of the noncompliant company, whichever is greater.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Case law from the Court of Justice of the European Union (“CJEU”) states that reliance</w:t>
      </w:r>
    </w:p>
    <w:p>
      <w:pPr>
        <w:sectPr>
          <w:pgSz w:w="11900" w:h="16838" w:orient="portrait"/>
          <w:cols w:equalWidth="0" w:num="1">
            <w:col w:w="9019"/>
          </w:cols>
          <w:pgMar w:left="1440" w:top="607"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on the standard contractual clauses - a standard form of contract approved by the European Commission as an adequate personal data transfer mechanism - alone may not necessarily be sufficient in all circumstances and that transfers must be assessed on a case-by-case basis. On July 10, 2023, the European Commission adopted its Adequacy Decision in relation to the new EU-US Data Privacy Framework (“DPF”), rendering the DPF effective as a GDPR transfer mechanism to U.S. entities self-certified under the DPF. As supervisory authorities issue further guidance on personal data export mechanisms, including circumstances where the standard contractual clauses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189"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Further, from January 1, 2021, we had to comply with the GDPR and the United Kingdom (“UK”) GDPR, which, together with the amended UK Data Protection Act 2018, retains the GDPR in UK national law, the latter regime having the ability to separately fine up to the greater of £17.5 million or 4% of global turnover. On October 12, 2023, the UK Extension to the DPF came into effect (as approved by the UK Government), as a data transfer mechanism from the UK to U.S. entities self-certified under the DPF.</w:t>
      </w:r>
    </w:p>
    <w:p>
      <w:pPr>
        <w:spacing w:after="0" w:line="187"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As we expand into other foreign countries and jurisdictions, we may be subject to additional laws and regulations that may affect how we conduct business. The cost of compliance with these laws, regulations and standards is high and is likely to increase in the future. Any failure or perceived failure by us or our collaborators, service providers and contractors to comply with federal, state or foreign laws or regulation, our internal policies and procedures or our contracts governing processing of personal information could result in negative publicity, diversion of management time and effort and proceedings against us by governmental entities or others. In many jurisdictions, enforcement actions and consequences for noncompliance are rising.</w:t>
      </w:r>
    </w:p>
    <w:p>
      <w:pPr>
        <w:spacing w:after="0" w:line="171" w:lineRule="exact"/>
        <w:rPr>
          <w:sz w:val="20"/>
          <w:szCs w:val="20"/>
          <w:color w:val="auto"/>
        </w:rPr>
      </w:pPr>
    </w:p>
    <w:p>
      <w:pPr>
        <w:ind w:left="60" w:right="1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operations could be subject to earthquakes, power shortages, telecommunications failures, water shortages, floods, hurricanes, typhoons, fires, extreme weather conditions, medical epidemics and pandemics, such as the COVID-19 pandemic, and other natural or manmade disasters or business interruptions, for which we are predominantly self-insured.</w:t>
      </w:r>
    </w:p>
    <w:p>
      <w:pPr>
        <w:spacing w:after="0" w:line="180"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Our corporate headquarters and laboratory are located in the San Francisco Bay Area. This location has in the past experienced severe earthquakes and other natural disasters. Earthquakes, extreme weather conditions, or other natural disasters, power-shortages, telecommunications failures, fires, medical epidemics and pandemics, such as the COVID-19 pandemic, and other natural or manmade disasters could severely disrupt our operations or those of our collaboration partners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90" w:lineRule="exact"/>
        <w:rPr>
          <w:sz w:val="20"/>
          <w:szCs w:val="20"/>
          <w:color w:val="auto"/>
        </w:rPr>
      </w:pPr>
    </w:p>
    <w:p>
      <w:pPr>
        <w:ind w:left="60" w:right="6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of our suppliers of the drug substance we use for the development of our product candidates are unable to provide such drug substance, our business could be disrupted and seriously harmed.</w:t>
      </w:r>
    </w:p>
    <w:p>
      <w:pPr>
        <w:spacing w:after="0" w:line="159"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7"/>
          <w:szCs w:val="17"/>
          <w:color w:val="auto"/>
        </w:rPr>
        <w:t>We currently rely on several different manufacturers who supply different parts of the ciforadenant molecule and soquelitinib molecule, on one manufacturer for mupadolimab drug substance and on other third-party manufacturers to produce our other product candidates. Our ability to obtain clinical supplies of soquelitinib, ciforadenant and mupadolimab or our other product candidates could be disrupted if the operations of these suppliers were affected by a man-made or natural disaster or other business interruption. The occurrence of any of these business disruptions could seriously harm our</w:t>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operations and financial condition and increase our costs and expenses</w:t>
      </w:r>
      <w:r>
        <w:rPr>
          <w:rFonts w:ascii="Times New Roman" w:cs="Times New Roman" w:eastAsia="Times New Roman" w:hAnsi="Times New Roman"/>
          <w:sz w:val="21"/>
          <w:szCs w:val="21"/>
          <w:color w:val="auto"/>
        </w:rPr>
        <w:t>.</w:t>
      </w:r>
    </w:p>
    <w:p>
      <w:pPr>
        <w:sectPr>
          <w:pgSz w:w="11900" w:h="16838" w:orient="portrait"/>
          <w:cols w:equalWidth="0" w:num="1">
            <w:col w:w="9019"/>
          </w:cols>
          <w:pgMar w:left="1440" w:top="607" w:right="1440"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 carryforwards and other tax attributes may be limited.</w:t>
      </w:r>
    </w:p>
    <w:p>
      <w:pPr>
        <w:spacing w:after="0" w:line="229" w:lineRule="exact"/>
        <w:rPr>
          <w:sz w:val="20"/>
          <w:szCs w:val="20"/>
          <w:color w:val="auto"/>
        </w:rPr>
      </w:pPr>
    </w:p>
    <w:p>
      <w:pPr>
        <w:ind w:left="60" w:right="119" w:firstLine="648"/>
        <w:spacing w:after="0" w:line="251" w:lineRule="auto"/>
        <w:rPr>
          <w:sz w:val="20"/>
          <w:szCs w:val="20"/>
          <w:color w:val="auto"/>
        </w:rPr>
      </w:pPr>
      <w:r>
        <w:rPr>
          <w:rFonts w:ascii="Times New Roman" w:cs="Times New Roman" w:eastAsia="Times New Roman" w:hAnsi="Times New Roman"/>
          <w:sz w:val="18"/>
          <w:szCs w:val="18"/>
          <w:color w:val="auto"/>
        </w:rPr>
        <w:t>We have incurred substantial losses during our history and do not expect to become profitable in the near future, and we may never achieve profitability. To the extent that we continue to generate taxable losses, unused losses will carry forward to offset future taxable income, if any, until such unused losses expire. As of December 31, 2023, we had federal net operating loss (“NOL”) carryforwards of approximately $228.7 million and state NOL carryforwards of approximately $294.8 million available to offset future taxable income. If not utilized, the federal and state NOL carryforwards will begin to expire in various years beginning in 2034. As of December 31, 2023, we also had $9.4 million of federal and</w:t>
      </w:r>
    </w:p>
    <w:p>
      <w:pPr>
        <w:spacing w:after="0" w:line="4" w:lineRule="exact"/>
        <w:rPr>
          <w:sz w:val="20"/>
          <w:szCs w:val="20"/>
          <w:color w:val="auto"/>
        </w:rPr>
      </w:pPr>
    </w:p>
    <w:p>
      <w:pPr>
        <w:ind w:left="60" w:right="119"/>
        <w:spacing w:after="0" w:line="249" w:lineRule="auto"/>
        <w:rPr>
          <w:sz w:val="20"/>
          <w:szCs w:val="20"/>
          <w:color w:val="auto"/>
        </w:rPr>
      </w:pPr>
      <w:r>
        <w:rPr>
          <w:rFonts w:ascii="Times New Roman" w:cs="Times New Roman" w:eastAsia="Times New Roman" w:hAnsi="Times New Roman"/>
          <w:sz w:val="18"/>
          <w:szCs w:val="18"/>
          <w:color w:val="auto"/>
        </w:rPr>
        <w:t>$5.1 million of state research and development tax credit carryforwards available to reduce future income taxes. The federal research and development tax credits will begin to expire in 2035, if not utilized. The state research and development tax credits have no expiration date. Utilization of NOL carryforwards and credits may be subject to an annual limitation due to the “ownership change” provisions under Sections 382 and 383 of the Internal Revenue Code of 1986, as amended. An “ownership change” is generally defined as a cumulative change in the ownership interest of significant stockholders over a rolling three-year period in excess of 50 percentage points. Similar provisions under state tax law may also apply. If finalized, Treasury Regulations currently proposed under Section 382 of the Code may further limit our ability to utilize our pre-change NOLs or credits if we undergo a future ownership change. We may experience an ownership change in the future as a result of subsequent shifts in our stock ownership, some of which changes are outside our control. Such ownership changes could result in the expiration of our NOL carryforwards and other tax attributes before they can be utilized and, if we are profitable, our future cash flows could be adversely affected due to our increased tax liability.</w:t>
      </w:r>
    </w:p>
    <w:p>
      <w:pPr>
        <w:spacing w:after="0" w:line="157" w:lineRule="exact"/>
        <w:rPr>
          <w:sz w:val="20"/>
          <w:szCs w:val="20"/>
          <w:color w:val="auto"/>
        </w:rPr>
      </w:pPr>
    </w:p>
    <w:p>
      <w:pPr>
        <w:ind w:left="60" w:right="159" w:firstLine="648"/>
        <w:spacing w:after="0" w:line="269" w:lineRule="auto"/>
        <w:rPr>
          <w:sz w:val="20"/>
          <w:szCs w:val="20"/>
          <w:color w:val="auto"/>
        </w:rPr>
      </w:pPr>
      <w:r>
        <w:rPr>
          <w:rFonts w:ascii="Times New Roman" w:cs="Times New Roman" w:eastAsia="Times New Roman" w:hAnsi="Times New Roman"/>
          <w:sz w:val="17"/>
          <w:szCs w:val="17"/>
          <w:color w:val="auto"/>
        </w:rPr>
        <w:t>Additionally, under the Tax Cut and Jobs Act (the “Tax Act”), as modified by the Coronavirus Aid, Relief, and Economic Security Act (the “CARES Act”), NOL carryforwards arising in tax years beginning after December 31, 2020 are limited to 80% of taxable income. Under the Tax Act, federal NOL carryforwards arising in tax years beginning after December 31, 2017 may be carried forward indefinitely. Under the CARES Act, federal NOL carryforwards arising in tax years beginning after December 31, 2017 and before January 1, 2021 may be carried back to each of the five tax years preceding the tax year of such loss. The changes in the carryforward and carryback periods as well as the limitation on use of NOL carryforwards may significantly impact our ability to use NOL carryforwards, particularly for tax years beginning after December 31, 2020, as well as the timing of any such use, and could adversely affect our results of operations.</w:t>
      </w:r>
    </w:p>
    <w:p>
      <w:pPr>
        <w:spacing w:after="0" w:line="174" w:lineRule="exact"/>
        <w:rPr>
          <w:sz w:val="20"/>
          <w:szCs w:val="20"/>
          <w:color w:val="auto"/>
        </w:rPr>
      </w:pPr>
    </w:p>
    <w:p>
      <w:pPr>
        <w:ind w:left="60" w:right="3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or publish unfavorable research or reports about our business, our stock price and trading volume could decline.</w:t>
      </w:r>
    </w:p>
    <w:p>
      <w:pPr>
        <w:spacing w:after="0" w:line="159"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industry or securities analysts publish about us or our business. If any of the analysts who cover us issue an adverse or misleading opinion regarding us, our business model, our intellectual property or our stock performance, or if our target studies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26" w:lineRule="exact"/>
        <w:rPr>
          <w:sz w:val="20"/>
          <w:szCs w:val="20"/>
          <w:color w:val="auto"/>
        </w:rPr>
      </w:pPr>
    </w:p>
    <w:p>
      <w:pPr>
        <w:ind w:left="60" w:right="5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impacted by corporate citizenship and ESG matters and or our reporting of such matters.</w:t>
      </w:r>
    </w:p>
    <w:p>
      <w:pPr>
        <w:spacing w:after="0" w:line="159"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Institutional, individual, and other investors, proxy advisory services, regulatory authorities, consumers and other stakeholders are increasingly focused on environmental, social and governance (ESG) practices of companies. As we look to respond to evolving standards for identifying, measuring, and reporting ESG metrics, our efforts may result in a significant increase in costs and may nevertheless not meet investor or other stakeholder expectations and evolving standards or regulatory requirements, which may negatively impact our financial results, our reputation, our ability to attract or retain employees, our attractiveness as an investment or business partner, or expose us to government enforcement actions, private litigation, and actions by stockholders or stakeholders.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right="3719"/>
        <w:spacing w:after="0" w:line="503" w:lineRule="auto"/>
        <w:rPr>
          <w:sz w:val="20"/>
          <w:szCs w:val="20"/>
          <w:color w:val="auto"/>
        </w:rPr>
      </w:pPr>
      <w:r>
        <w:rPr>
          <w:rFonts w:ascii="Times New Roman" w:cs="Times New Roman" w:eastAsia="Times New Roman" w:hAnsi="Times New Roman"/>
          <w:sz w:val="18"/>
          <w:szCs w:val="18"/>
          <w:b w:val="1"/>
          <w:bCs w:val="1"/>
          <w:color w:val="auto"/>
        </w:rPr>
        <w:t xml:space="preserve">Item 2. Unregistered Sales of Equity Securities and Use of Proceeds </w:t>
      </w:r>
      <w:r>
        <w:rPr>
          <w:rFonts w:ascii="Times New Roman" w:cs="Times New Roman" w:eastAsia="Times New Roman" w:hAnsi="Times New Roman"/>
          <w:sz w:val="18"/>
          <w:szCs w:val="18"/>
          <w:b w:val="1"/>
          <w:bCs w:val="1"/>
          <w:i w:val="1"/>
          <w:iCs w:val="1"/>
          <w:color w:val="auto"/>
        </w:rPr>
        <w:t>Recent Sales of Unregistered Securities.</w:t>
      </w: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Proceeds from Registered Securities</w:t>
      </w:r>
    </w:p>
    <w:p>
      <w:pPr>
        <w:spacing w:after="0" w:line="21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Repurchases of Shares or of Company Equity Securities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7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58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25"/>
        </w:trPr>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2"/>
                <w:szCs w:val="2"/>
                <w:color w:val="auto"/>
              </w:rPr>
            </w:pPr>
          </w:p>
        </w:tc>
        <w:tc>
          <w:tcPr>
            <w:tcW w:w="120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3340" w:type="dxa"/>
            <w:vAlign w:val="bottom"/>
            <w:gridSpan w:val="1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60" w:type="dxa"/>
            <w:vAlign w:val="bottom"/>
            <w:vMerge w:val="restart"/>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169"/>
        </w:trPr>
        <w:tc>
          <w:tcPr>
            <w:tcW w:w="7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3340" w:type="dxa"/>
            <w:vAlign w:val="bottom"/>
            <w:tcBorders>
              <w:bottom w:val="single" w:sz="8" w:color="auto"/>
            </w:tcBorders>
            <w:gridSpan w:val="12"/>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8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8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0"/>
                <w:szCs w:val="20"/>
                <w:color w:val="auto"/>
              </w:rPr>
            </w:pPr>
          </w:p>
        </w:tc>
        <w:tc>
          <w:tcPr>
            <w:tcW w:w="37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Amended and Restated Certificate of Incorporation.</w:t>
              </w:r>
            </w:hyperlink>
          </w:p>
        </w:tc>
        <w:tc>
          <w:tcPr>
            <w:tcW w:w="1020" w:type="dxa"/>
            <w:vAlign w:val="bottom"/>
            <w:gridSpan w:val="8"/>
          </w:tcPr>
          <w:p>
            <w:pPr>
              <w:spacing w:after="0"/>
              <w:rPr>
                <w:sz w:val="20"/>
                <w:szCs w:val="20"/>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3/29/2016</w:t>
            </w:r>
          </w:p>
        </w:tc>
        <w:tc>
          <w:tcPr>
            <w:tcW w:w="8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2"/>
                <w:szCs w:val="22"/>
                <w:color w:val="auto"/>
              </w:rPr>
            </w:pPr>
          </w:p>
        </w:tc>
        <w:tc>
          <w:tcPr>
            <w:tcW w:w="23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Amended and Restated Bylaws.</w:t>
              </w:r>
            </w:hyperlink>
          </w:p>
        </w:tc>
        <w:tc>
          <w:tcPr>
            <w:tcW w:w="2460" w:type="dxa"/>
            <w:vAlign w:val="bottom"/>
            <w:gridSpan w:val="11"/>
          </w:tcPr>
          <w:p>
            <w:pPr>
              <w:spacing w:after="0"/>
              <w:rPr>
                <w:sz w:val="22"/>
                <w:szCs w:val="22"/>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3/29/2016</w:t>
            </w:r>
          </w:p>
        </w:tc>
        <w:tc>
          <w:tcPr>
            <w:tcW w:w="8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24"/>
                <w:szCs w:val="24"/>
                <w:color w:val="auto"/>
              </w:rPr>
            </w:pPr>
          </w:p>
        </w:tc>
        <w:tc>
          <w:tcPr>
            <w:tcW w:w="47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Reference is made to Exhibits 3.1 through 3.2.</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21"/>
                <w:szCs w:val="21"/>
                <w:color w:val="auto"/>
              </w:rPr>
            </w:pPr>
          </w:p>
        </w:tc>
        <w:tc>
          <w:tcPr>
            <w:tcW w:w="4760" w:type="dxa"/>
            <w:vAlign w:val="bottom"/>
            <w:gridSpan w:val="15"/>
          </w:tcPr>
          <w:p>
            <w:pPr>
              <w:spacing w:after="0"/>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Form of Common Stock Certificate.</w:t>
              </w:r>
            </w:hyperlink>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S-1</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1/4/2016</w:t>
            </w:r>
          </w:p>
        </w:tc>
        <w:tc>
          <w:tcPr>
            <w:tcW w:w="8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22"/>
                <w:szCs w:val="22"/>
                <w:color w:val="auto"/>
              </w:rPr>
            </w:pPr>
          </w:p>
        </w:tc>
        <w:tc>
          <w:tcPr>
            <w:tcW w:w="2600" w:type="dxa"/>
            <w:vAlign w:val="bottom"/>
            <w:tcBorders>
              <w:top w:val="single" w:sz="8" w:color="0000EE"/>
            </w:tcBorders>
            <w:gridSpan w:val="5"/>
          </w:tcPr>
          <w:p>
            <w:pPr>
              <w:spacing w:after="0"/>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Form of Warrant</w:t>
              </w:r>
            </w:hyperlink>
            <w:r>
              <w:rPr>
                <w:rFonts w:ascii="Times New Roman" w:cs="Times New Roman" w:eastAsia="Times New Roman" w:hAnsi="Times New Roman"/>
                <w:sz w:val="18"/>
                <w:szCs w:val="18"/>
                <w:color w:val="000000"/>
              </w:rPr>
              <w:t>.</w:t>
            </w:r>
          </w:p>
        </w:tc>
        <w:tc>
          <w:tcPr>
            <w:tcW w:w="2160" w:type="dxa"/>
            <w:vAlign w:val="bottom"/>
            <w:gridSpan w:val="10"/>
          </w:tcPr>
          <w:p>
            <w:pPr>
              <w:spacing w:after="0"/>
              <w:rPr>
                <w:sz w:val="22"/>
                <w:szCs w:val="22"/>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11/12/2019</w:t>
            </w:r>
          </w:p>
        </w:tc>
        <w:tc>
          <w:tcPr>
            <w:tcW w:w="8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22"/>
                <w:szCs w:val="22"/>
                <w:color w:val="auto"/>
              </w:rPr>
            </w:pPr>
          </w:p>
        </w:tc>
        <w:tc>
          <w:tcPr>
            <w:tcW w:w="476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Description of Registrant’s Securities Registered Pursuant to</w:t>
            </w: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Section 12 of the Securities Exchange Act of 1934.</w:t>
            </w:r>
          </w:p>
        </w:tc>
        <w:tc>
          <w:tcPr>
            <w:tcW w:w="400" w:type="dxa"/>
            <w:vAlign w:val="bottom"/>
            <w:gridSpan w:val="7"/>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2"/>
                <w:szCs w:val="22"/>
                <w:color w:val="auto"/>
              </w:rPr>
            </w:pPr>
          </w:p>
        </w:tc>
        <w:tc>
          <w:tcPr>
            <w:tcW w:w="44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Employment Agreement, dated as of February 2, 2024 by and</w:t>
            </w:r>
          </w:p>
        </w:tc>
        <w:tc>
          <w:tcPr>
            <w:tcW w:w="300" w:type="dxa"/>
            <w:vAlign w:val="bottom"/>
            <w:gridSpan w:val="5"/>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7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between Corvus Pharmaceuticals, Inc. and Jeffrey S. Arcara.</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22"/>
                <w:szCs w:val="22"/>
                <w:color w:val="auto"/>
              </w:rPr>
            </w:pPr>
          </w:p>
        </w:tc>
        <w:tc>
          <w:tcPr>
            <w:tcW w:w="450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required by Rule 13a-</w:t>
            </w:r>
          </w:p>
        </w:tc>
        <w:tc>
          <w:tcPr>
            <w:tcW w:w="260" w:type="dxa"/>
            <w:vAlign w:val="bottom"/>
            <w:gridSpan w:val="4"/>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14(a) or Rule 15d-14(a).</w:t>
            </w:r>
          </w:p>
        </w:tc>
        <w:tc>
          <w:tcPr>
            <w:tcW w:w="3000" w:type="dxa"/>
            <w:vAlign w:val="bottom"/>
            <w:gridSpan w:val="12"/>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22"/>
                <w:szCs w:val="22"/>
                <w:color w:val="auto"/>
              </w:rPr>
            </w:pPr>
          </w:p>
        </w:tc>
        <w:tc>
          <w:tcPr>
            <w:tcW w:w="476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required by Rule 13a-</w:t>
            </w: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14(a) or Rule 15d-14(a).</w:t>
            </w:r>
          </w:p>
        </w:tc>
        <w:tc>
          <w:tcPr>
            <w:tcW w:w="2680" w:type="dxa"/>
            <w:vAlign w:val="bottom"/>
            <w:tcBorders>
              <w:top w:val="single" w:sz="8" w:color="0000EE"/>
            </w:tcBorders>
            <w:gridSpan w:val="6"/>
          </w:tcPr>
          <w:p>
            <w:pPr>
              <w:spacing w:after="0"/>
              <w:rPr>
                <w:sz w:val="17"/>
                <w:szCs w:val="17"/>
                <w:color w:val="auto"/>
              </w:rPr>
            </w:pPr>
          </w:p>
        </w:tc>
        <w:tc>
          <w:tcPr>
            <w:tcW w:w="320" w:type="dxa"/>
            <w:vAlign w:val="bottom"/>
            <w:gridSpan w:val="6"/>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22"/>
                <w:szCs w:val="22"/>
                <w:color w:val="auto"/>
              </w:rPr>
            </w:pPr>
          </w:p>
        </w:tc>
        <w:tc>
          <w:tcPr>
            <w:tcW w:w="476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Certification required by Rule 13a-14(b) or Rule 15d-14(b) and</w:t>
            </w: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3200" w:type="dxa"/>
            <w:vAlign w:val="bottom"/>
            <w:gridSpan w:val="10"/>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1350 of Chapter 63 of Title 18 of the United States Code</w:t>
            </w:r>
          </w:p>
        </w:tc>
        <w:tc>
          <w:tcPr>
            <w:tcW w:w="80" w:type="dxa"/>
            <w:vAlign w:val="bottom"/>
            <w:gridSpan w:val="2"/>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7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(18 U.S.C. §1350).</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3400" w:type="dxa"/>
            <w:vAlign w:val="bottom"/>
            <w:gridSpan w:val="1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80" w:type="dxa"/>
            <w:vAlign w:val="bottom"/>
          </w:tcPr>
          <w:p>
            <w:pPr>
              <w:spacing w:after="0"/>
              <w:rPr>
                <w:sz w:val="24"/>
                <w:szCs w:val="24"/>
                <w:color w:val="auto"/>
              </w:rPr>
            </w:pPr>
          </w:p>
        </w:tc>
        <w:tc>
          <w:tcPr>
            <w:tcW w:w="47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7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appear in the Interactive Data File because its XBRL tags are</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7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80" w:type="dxa"/>
            <w:vAlign w:val="bottom"/>
          </w:tcPr>
          <w:p>
            <w:pPr>
              <w:spacing w:after="0"/>
              <w:rPr>
                <w:sz w:val="24"/>
                <w:szCs w:val="24"/>
                <w:color w:val="auto"/>
              </w:rPr>
            </w:pPr>
          </w:p>
        </w:tc>
        <w:tc>
          <w:tcPr>
            <w:tcW w:w="47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65"/>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80" w:type="dxa"/>
            <w:vAlign w:val="bottom"/>
          </w:tcPr>
          <w:p>
            <w:pPr>
              <w:spacing w:after="0"/>
              <w:rPr>
                <w:sz w:val="23"/>
                <w:szCs w:val="23"/>
                <w:color w:val="auto"/>
              </w:rPr>
            </w:pPr>
          </w:p>
        </w:tc>
        <w:tc>
          <w:tcPr>
            <w:tcW w:w="47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7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Document.</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80" w:type="dxa"/>
            <w:vAlign w:val="bottom"/>
          </w:tcPr>
          <w:p>
            <w:pPr>
              <w:spacing w:after="0"/>
              <w:rPr>
                <w:sz w:val="23"/>
                <w:szCs w:val="23"/>
                <w:color w:val="auto"/>
              </w:rPr>
            </w:pPr>
          </w:p>
        </w:tc>
        <w:tc>
          <w:tcPr>
            <w:tcW w:w="47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Definitions Linkbase</w:t>
            </w: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7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Document.</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80" w:type="dxa"/>
            <w:vAlign w:val="bottom"/>
          </w:tcPr>
          <w:p>
            <w:pPr>
              <w:spacing w:after="0"/>
              <w:rPr>
                <w:sz w:val="24"/>
                <w:szCs w:val="24"/>
                <w:color w:val="auto"/>
              </w:rPr>
            </w:pPr>
          </w:p>
        </w:tc>
        <w:tc>
          <w:tcPr>
            <w:tcW w:w="47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65"/>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80" w:type="dxa"/>
            <w:vAlign w:val="bottom"/>
          </w:tcPr>
          <w:p>
            <w:pPr>
              <w:spacing w:after="0"/>
              <w:rPr>
                <w:sz w:val="23"/>
                <w:szCs w:val="23"/>
                <w:color w:val="auto"/>
              </w:rPr>
            </w:pPr>
          </w:p>
        </w:tc>
        <w:tc>
          <w:tcPr>
            <w:tcW w:w="47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7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Document.</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3"/>
                <w:szCs w:val="23"/>
                <w:color w:val="auto"/>
              </w:rPr>
            </w:pPr>
          </w:p>
        </w:tc>
        <w:tc>
          <w:tcPr>
            <w:tcW w:w="47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The cover page of Corvus Pharmaceuticals, Inc.’s Quarterly</w:t>
            </w: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7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Report on Form 10-Q for the three months ended March 31,</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7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2024, formatted in Inline XBRL (contained in Exhibit 101).</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78" w:lineRule="exact"/>
        <w:rPr>
          <w:sz w:val="20"/>
          <w:szCs w:val="20"/>
          <w:color w:val="auto"/>
        </w:rPr>
      </w:pPr>
    </w:p>
    <w:p>
      <w:pPr>
        <w:ind w:left="380" w:hanging="330"/>
        <w:spacing w:after="0"/>
        <w:tabs>
          <w:tab w:leader="none" w:pos="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117" w:lineRule="exact"/>
        <w:rPr>
          <w:sz w:val="20"/>
          <w:szCs w:val="20"/>
          <w:color w:val="auto"/>
        </w:rPr>
      </w:pPr>
    </w:p>
    <w:p>
      <w:pPr>
        <w:ind w:left="380" w:right="319" w:hanging="330"/>
        <w:spacing w:after="0" w:line="254" w:lineRule="auto"/>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 attached as Exhibit 32.1 that accompanies this Quarterly Report on Form 10-Q is not deemed filed with the Securities and Exchange Commission and is not to be incorporated by reference into any filing of Corvus Pharmaceuticals,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5960" w:type="dxa"/>
            <w:vAlign w:val="bottom"/>
            <w:gridSpan w:val="2"/>
          </w:tcPr>
          <w:p>
            <w:pPr>
              <w:ind w:left="1600"/>
              <w:spacing w:after="0"/>
              <w:rPr>
                <w:sz w:val="20"/>
                <w:szCs w:val="20"/>
                <w:color w:val="auto"/>
              </w:rPr>
            </w:pPr>
            <w:r>
              <w:rPr>
                <w:rFonts w:ascii="Times New Roman" w:cs="Times New Roman" w:eastAsia="Times New Roman" w:hAnsi="Times New Roman"/>
                <w:sz w:val="18"/>
                <w:szCs w:val="18"/>
                <w:b w:val="1"/>
                <w:bCs w:val="1"/>
                <w:color w:val="auto"/>
              </w:rPr>
              <w:t>CORVUS PHARMACEUTICALS, INC.</w:t>
            </w:r>
          </w:p>
        </w:tc>
      </w:tr>
      <w:tr>
        <w:trPr>
          <w:trHeight w:val="432"/>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2024</w:t>
            </w:r>
          </w:p>
        </w:tc>
        <w:tc>
          <w:tcPr>
            <w:tcW w:w="20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Richard. A. Miller</w:t>
            </w:r>
          </w:p>
        </w:tc>
      </w:tr>
      <w:tr>
        <w:trPr>
          <w:trHeight w:val="191"/>
        </w:trPr>
        <w:tc>
          <w:tcPr>
            <w:tcW w:w="29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9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Richard A. Miller, M.D.</w:t>
            </w:r>
          </w:p>
        </w:tc>
      </w:tr>
      <w:tr>
        <w:trPr>
          <w:trHeight w:val="214"/>
        </w:trPr>
        <w:tc>
          <w:tcPr>
            <w:tcW w:w="29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6"/>
        </w:trPr>
        <w:tc>
          <w:tcPr>
            <w:tcW w:w="29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432"/>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2024</w:t>
            </w:r>
          </w:p>
        </w:tc>
        <w:tc>
          <w:tcPr>
            <w:tcW w:w="20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Leiv Lea</w:t>
            </w:r>
          </w:p>
        </w:tc>
      </w:tr>
      <w:tr>
        <w:trPr>
          <w:trHeight w:val="191"/>
        </w:trPr>
        <w:tc>
          <w:tcPr>
            <w:tcW w:w="29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9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Leiv Lea</w:t>
            </w:r>
          </w:p>
        </w:tc>
      </w:tr>
      <w:tr>
        <w:trPr>
          <w:trHeight w:val="214"/>
        </w:trPr>
        <w:tc>
          <w:tcPr>
            <w:tcW w:w="29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6"/>
        </w:trPr>
        <w:tc>
          <w:tcPr>
            <w:tcW w:w="29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sectPr>
      </w:pPr>
    </w:p>
    <w:bookmarkStart w:id="81" w:name="page82"/>
    <w:bookmarkEnd w:id="81"/>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4.5</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REGISTRANT’S SECURITIES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18"/>
          <w:szCs w:val="18"/>
          <w:color w:val="auto"/>
        </w:rPr>
        <w:t>As of March 31, 2024, Corvus Pharmaceuticals, Inc. had common stock, $0.0001 par value per share, registered under Section 12 of the Securities Exchange Act of 1934, as amended (the “Exchange Act”), and listed on The Nasdaq Global Market under the trading symbol “CRVS.”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200" w:right="319" w:firstLine="648"/>
        <w:spacing w:after="0" w:line="256" w:lineRule="auto"/>
        <w:rPr>
          <w:sz w:val="20"/>
          <w:szCs w:val="20"/>
          <w:color w:val="auto"/>
        </w:rPr>
      </w:pPr>
      <w:r>
        <w:rPr>
          <w:rFonts w:ascii="Times New Roman" w:cs="Times New Roman" w:eastAsia="Times New Roman" w:hAnsi="Times New Roman"/>
          <w:sz w:val="18"/>
          <w:szCs w:val="18"/>
          <w:color w:val="auto"/>
        </w:rPr>
        <w:t>The following summary describes our capital stock and the material provisions of our amended and restated certificate of incorporation, our amended and restated bylaws and of the Delaware General Corporation Law. Because the following is only a summary, it does not contain all of the information that may be important to you. For a complete description, you should refer to our amended and restated certificate of incorporation and amended and restated bylaws, copies of which are incorporated by reference as Exhibits 3.1 and 3.2, respectively, to our Quarterly Report on Form 10-Q.</w:t>
      </w:r>
    </w:p>
    <w:p>
      <w:pPr>
        <w:spacing w:after="0" w:line="1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left="200" w:right="259" w:firstLine="551"/>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290,000,000 shares of common stock, $0.0001 par value per share, and 10,000,000 shares of preferred stock, $0.0001 par value per share.</w:t>
      </w:r>
    </w:p>
    <w:p>
      <w:pPr>
        <w:spacing w:after="0" w:line="1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ind w:left="200" w:right="239" w:firstLine="551"/>
        <w:spacing w:after="0" w:line="253" w:lineRule="auto"/>
        <w:rPr>
          <w:sz w:val="20"/>
          <w:szCs w:val="20"/>
          <w:color w:val="auto"/>
        </w:rPr>
      </w:pPr>
      <w:r>
        <w:rPr>
          <w:rFonts w:ascii="Times New Roman" w:cs="Times New Roman" w:eastAsia="Times New Roman" w:hAnsi="Times New Roman"/>
          <w:sz w:val="18"/>
          <w:szCs w:val="18"/>
          <w:color w:val="auto"/>
        </w:rPr>
        <w:t>Each holder of our common stock is entitled to one vote for each share on all matters submitted to a vote of the stockholders, including the election of directors. Our stockholders do not have cumulative voting rights in the election of directors. Accordingly, holders of a majority of the voting shares are able to elect all of the directors. In addition, the affirmative vote of holders of 66 2/3% of the voting power of all of the then outstanding voting stock is required to take certain actions, including amending certain provisions of our amended and restated certificate of incorporation, such as the provisions relating to amending our amended and restated bylaws, the classified board of directors and director liability.</w:t>
      </w:r>
    </w:p>
    <w:p>
      <w:pPr>
        <w:spacing w:after="0" w:line="1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ind w:left="200" w:right="359" w:firstLine="551"/>
        <w:spacing w:after="0" w:line="258" w:lineRule="auto"/>
        <w:rPr>
          <w:sz w:val="20"/>
          <w:szCs w:val="20"/>
          <w:color w:val="auto"/>
        </w:rPr>
      </w:pPr>
      <w:r>
        <w:rPr>
          <w:rFonts w:ascii="Times New Roman" w:cs="Times New Roman" w:eastAsia="Times New Roman" w:hAnsi="Times New Roman"/>
          <w:sz w:val="18"/>
          <w:szCs w:val="18"/>
          <w:color w:val="auto"/>
        </w:rPr>
        <w:t>Subject to preferences that may be applicable to any then outstanding preferred stock, holders of our common stock are entitled to receive dividends, if any, as may be declared from time to time by our board of directors out of legally available funds.</w:t>
      </w:r>
    </w:p>
    <w:p>
      <w:pPr>
        <w:spacing w:after="0" w:line="1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229" w:lineRule="exact"/>
        <w:rPr>
          <w:sz w:val="20"/>
          <w:szCs w:val="20"/>
          <w:color w:val="auto"/>
        </w:rPr>
      </w:pPr>
    </w:p>
    <w:p>
      <w:pPr>
        <w:ind w:left="200" w:right="239" w:firstLine="551"/>
        <w:spacing w:after="0" w:line="255"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w:t>
      </w:r>
    </w:p>
    <w:p>
      <w:pPr>
        <w:spacing w:after="0" w:line="3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Rights and Preferences</w:t>
      </w:r>
    </w:p>
    <w:p>
      <w:pPr>
        <w:spacing w:after="0" w:line="229" w:lineRule="exact"/>
        <w:rPr>
          <w:sz w:val="20"/>
          <w:szCs w:val="20"/>
          <w:color w:val="auto"/>
        </w:rPr>
      </w:pPr>
    </w:p>
    <w:p>
      <w:pPr>
        <w:ind w:left="200" w:right="299" w:firstLine="551"/>
        <w:spacing w:after="0" w:line="255" w:lineRule="auto"/>
        <w:rPr>
          <w:sz w:val="20"/>
          <w:szCs w:val="20"/>
          <w:color w:val="auto"/>
        </w:rPr>
      </w:pPr>
      <w:r>
        <w:rPr>
          <w:rFonts w:ascii="Times New Roman" w:cs="Times New Roman" w:eastAsia="Times New Roman" w:hAnsi="Times New Roman"/>
          <w:sz w:val="18"/>
          <w:szCs w:val="18"/>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636270</wp:posOffset>
            </wp:positionV>
            <wp:extent cx="545211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82" w:name="page83"/>
    <w:bookmarkEnd w:id="82"/>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Fully Paid and Nonassessable</w:t>
      </w:r>
    </w:p>
    <w:p>
      <w:pPr>
        <w:spacing w:after="0" w:line="22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All of our outstanding shares of common stock are fully paid and nonassessable.</w:t>
      </w:r>
    </w:p>
    <w:p>
      <w:pPr>
        <w:spacing w:after="0" w:line="2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ind w:left="200" w:right="339" w:firstLine="551"/>
        <w:spacing w:after="0" w:line="252" w:lineRule="auto"/>
        <w:rPr>
          <w:sz w:val="20"/>
          <w:szCs w:val="20"/>
          <w:color w:val="auto"/>
        </w:rPr>
      </w:pPr>
      <w:r>
        <w:rPr>
          <w:rFonts w:ascii="Times New Roman" w:cs="Times New Roman" w:eastAsia="Times New Roman" w:hAnsi="Times New Roman"/>
          <w:sz w:val="18"/>
          <w:szCs w:val="18"/>
          <w:color w:val="auto"/>
        </w:rPr>
        <w:t>Our board of directors has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our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As of March 31, 2024, no shares of preferred stock were outstanding.</w:t>
      </w:r>
    </w:p>
    <w:p>
      <w:pPr>
        <w:spacing w:after="0" w:line="200" w:lineRule="exact"/>
        <w:rPr>
          <w:sz w:val="20"/>
          <w:szCs w:val="20"/>
          <w:color w:val="auto"/>
        </w:rPr>
      </w:pPr>
    </w:p>
    <w:p>
      <w:pPr>
        <w:spacing w:after="0" w:line="203" w:lineRule="exact"/>
        <w:rPr>
          <w:sz w:val="20"/>
          <w:szCs w:val="20"/>
          <w:color w:val="auto"/>
        </w:rPr>
      </w:pPr>
    </w:p>
    <w:p>
      <w:pPr>
        <w:ind w:left="200" w:right="419"/>
        <w:spacing w:after="0" w:line="286" w:lineRule="auto"/>
        <w:rPr>
          <w:sz w:val="20"/>
          <w:szCs w:val="20"/>
          <w:color w:val="auto"/>
        </w:rPr>
      </w:pPr>
      <w:r>
        <w:rPr>
          <w:rFonts w:ascii="Times New Roman" w:cs="Times New Roman" w:eastAsia="Times New Roman" w:hAnsi="Times New Roman"/>
          <w:sz w:val="18"/>
          <w:szCs w:val="18"/>
          <w:b w:val="1"/>
          <w:bCs w:val="1"/>
          <w:color w:val="auto"/>
        </w:rPr>
        <w:t>Anti-Takeover Effects of Provisions of our Amended and Restated Certificate of Incorporation, our Amended and Restated Bylaws and Delaware Law</w:t>
      </w:r>
    </w:p>
    <w:p>
      <w:pPr>
        <w:spacing w:after="0" w:line="145" w:lineRule="exact"/>
        <w:rPr>
          <w:sz w:val="20"/>
          <w:szCs w:val="20"/>
          <w:color w:val="auto"/>
        </w:rPr>
      </w:pPr>
    </w:p>
    <w:p>
      <w:pPr>
        <w:ind w:left="200" w:right="259" w:firstLine="551"/>
        <w:spacing w:after="0" w:line="256" w:lineRule="auto"/>
        <w:rPr>
          <w:sz w:val="20"/>
          <w:szCs w:val="20"/>
          <w:color w:val="auto"/>
        </w:rPr>
      </w:pPr>
      <w:r>
        <w:rPr>
          <w:rFonts w:ascii="Times New Roman" w:cs="Times New Roman" w:eastAsia="Times New Roman" w:hAnsi="Times New Roman"/>
          <w:sz w:val="18"/>
          <w:szCs w:val="18"/>
          <w:color w:val="auto"/>
        </w:rPr>
        <w:t>Certain provisions of Delaware law and our amended and restated certificate of incorporation and our amended and restated bylaws contain provisions that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174" w:lineRule="exact"/>
        <w:rPr>
          <w:sz w:val="20"/>
          <w:szCs w:val="20"/>
          <w:color w:val="auto"/>
        </w:rPr>
      </w:pPr>
    </w:p>
    <w:p>
      <w:pPr>
        <w:ind w:left="200" w:right="379" w:firstLine="551"/>
        <w:spacing w:after="0" w:line="256" w:lineRule="auto"/>
        <w:rPr>
          <w:sz w:val="20"/>
          <w:szCs w:val="20"/>
          <w:color w:val="auto"/>
        </w:rPr>
      </w:pPr>
      <w:r>
        <w:rPr>
          <w:rFonts w:ascii="Times New Roman" w:cs="Times New Roman" w:eastAsia="Times New Roman" w:hAnsi="Times New Roman"/>
          <w:sz w:val="18"/>
          <w:szCs w:val="18"/>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Statute</w:t>
      </w:r>
    </w:p>
    <w:p>
      <w:pPr>
        <w:spacing w:after="0" w:line="229" w:lineRule="exact"/>
        <w:rPr>
          <w:sz w:val="20"/>
          <w:szCs w:val="20"/>
          <w:color w:val="auto"/>
        </w:rPr>
      </w:pPr>
    </w:p>
    <w:p>
      <w:pPr>
        <w:ind w:left="200" w:right="219" w:firstLine="551"/>
        <w:spacing w:after="0" w:line="252" w:lineRule="auto"/>
        <w:rPr>
          <w:sz w:val="20"/>
          <w:szCs w:val="20"/>
          <w:color w:val="auto"/>
        </w:rPr>
      </w:pPr>
      <w:r>
        <w:rPr>
          <w:rFonts w:ascii="Times New Roman" w:cs="Times New Roman" w:eastAsia="Times New Roman" w:hAnsi="Times New Roman"/>
          <w:sz w:val="18"/>
          <w:szCs w:val="18"/>
          <w:color w:val="auto"/>
        </w:rPr>
        <w:t>We are subject to Section 203 of the Delaware General Corporation Law, which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such as discouraging takeover attempts that might result in a premium over the market price of our common stock.</w:t>
      </w:r>
    </w:p>
    <w:p>
      <w:pPr>
        <w:spacing w:after="0" w:line="1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229" w:lineRule="exact"/>
        <w:rPr>
          <w:sz w:val="20"/>
          <w:szCs w:val="20"/>
          <w:color w:val="auto"/>
        </w:rPr>
      </w:pPr>
    </w:p>
    <w:p>
      <w:pPr>
        <w:ind w:left="200" w:right="599" w:firstLine="551"/>
        <w:spacing w:after="0" w:line="261" w:lineRule="auto"/>
        <w:rPr>
          <w:sz w:val="20"/>
          <w:szCs w:val="20"/>
          <w:color w:val="auto"/>
        </w:rPr>
      </w:pPr>
      <w:r>
        <w:rPr>
          <w:rFonts w:ascii="Times New Roman" w:cs="Times New Roman" w:eastAsia="Times New Roman" w:hAnsi="Times New Roman"/>
          <w:sz w:val="18"/>
          <w:szCs w:val="18"/>
          <w:color w:val="auto"/>
        </w:rPr>
        <w:t>The ability to authorize undesignated preferred stock makes it possible for our board of directors to issue preferred stock with voting or other rights or preferences that could impede the success of any attempt to change control of us. These and other provisions may have the effect of deterring hostile takeovers or delaying changes in control or management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622935</wp:posOffset>
            </wp:positionV>
            <wp:extent cx="545211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14" w:right="1440" w:bottom="1440" w:gutter="0" w:footer="0" w:header="0"/>
        </w:sectPr>
      </w:pPr>
    </w:p>
    <w:bookmarkStart w:id="83" w:name="page84"/>
    <w:bookmarkEnd w:id="83"/>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Special Stockholder Meetings</w:t>
      </w:r>
    </w:p>
    <w:p>
      <w:pPr>
        <w:spacing w:after="0" w:line="229" w:lineRule="exact"/>
        <w:rPr>
          <w:sz w:val="20"/>
          <w:szCs w:val="20"/>
          <w:color w:val="auto"/>
        </w:rPr>
      </w:pPr>
    </w:p>
    <w:p>
      <w:pPr>
        <w:ind w:left="200" w:right="279" w:firstLine="551"/>
        <w:spacing w:after="0" w:line="282" w:lineRule="auto"/>
        <w:rPr>
          <w:sz w:val="20"/>
          <w:szCs w:val="20"/>
          <w:color w:val="auto"/>
        </w:rPr>
      </w:pPr>
      <w:r>
        <w:rPr>
          <w:rFonts w:ascii="Times New Roman" w:cs="Times New Roman" w:eastAsia="Times New Roman" w:hAnsi="Times New Roman"/>
          <w:sz w:val="18"/>
          <w:szCs w:val="18"/>
          <w:color w:val="auto"/>
        </w:rPr>
        <w:t>Our amended and restated bylaws provide that a special meeting of stockholders may be called at any time by our board of directors, but such special meetings may not be called by the stockholders or any other person or persons.</w:t>
      </w:r>
    </w:p>
    <w:p>
      <w:pPr>
        <w:spacing w:after="0" w:line="14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Advance Notification of Stockholder Nominations and Proposals</w:t>
      </w:r>
    </w:p>
    <w:p>
      <w:pPr>
        <w:spacing w:after="0" w:line="229" w:lineRule="exact"/>
        <w:rPr>
          <w:sz w:val="20"/>
          <w:szCs w:val="20"/>
          <w:color w:val="auto"/>
        </w:rPr>
      </w:pPr>
    </w:p>
    <w:p>
      <w:pPr>
        <w:jc w:val="both"/>
        <w:ind w:left="200" w:right="479" w:firstLine="551"/>
        <w:spacing w:after="0" w:line="266" w:lineRule="auto"/>
        <w:rPr>
          <w:sz w:val="20"/>
          <w:szCs w:val="20"/>
          <w:color w:val="auto"/>
        </w:rPr>
      </w:pPr>
      <w:r>
        <w:rPr>
          <w:rFonts w:ascii="Times New Roman" w:cs="Times New Roman" w:eastAsia="Times New Roman" w:hAnsi="Times New Roman"/>
          <w:sz w:val="18"/>
          <w:szCs w:val="18"/>
          <w:color w:val="auto"/>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w:t>
      </w:r>
    </w:p>
    <w:p>
      <w:pPr>
        <w:spacing w:after="0" w:line="1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by Written Consent</w:t>
      </w:r>
    </w:p>
    <w:p>
      <w:pPr>
        <w:spacing w:after="0" w:line="229" w:lineRule="exact"/>
        <w:rPr>
          <w:sz w:val="20"/>
          <w:szCs w:val="20"/>
          <w:color w:val="auto"/>
        </w:rPr>
      </w:pPr>
    </w:p>
    <w:p>
      <w:pPr>
        <w:ind w:left="200" w:right="999" w:firstLine="551"/>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preclude stockholder action by written consent without a meeting.</w:t>
      </w:r>
    </w:p>
    <w:p>
      <w:pPr>
        <w:spacing w:after="0" w:line="1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Election and Removal of Directors; Filling Vacancies</w:t>
      </w:r>
    </w:p>
    <w:p>
      <w:pPr>
        <w:spacing w:after="0" w:line="229" w:lineRule="exact"/>
        <w:rPr>
          <w:sz w:val="20"/>
          <w:szCs w:val="20"/>
          <w:color w:val="auto"/>
        </w:rPr>
      </w:pPr>
    </w:p>
    <w:p>
      <w:pPr>
        <w:ind w:left="200" w:right="239" w:firstLine="551"/>
        <w:spacing w:after="0" w:line="250" w:lineRule="auto"/>
        <w:rPr>
          <w:sz w:val="20"/>
          <w:szCs w:val="20"/>
          <w:color w:val="auto"/>
        </w:rPr>
      </w:pPr>
      <w:r>
        <w:rPr>
          <w:rFonts w:ascii="Times New Roman" w:cs="Times New Roman" w:eastAsia="Times New Roman" w:hAnsi="Times New Roman"/>
          <w:sz w:val="18"/>
          <w:szCs w:val="18"/>
          <w:color w:val="auto"/>
        </w:rPr>
        <w:t>Our board of directors is divided into three classes. The directors in each class serve for a three-year term, with one class being elected each year by our stockholders, with staggered three-year terms. Only one class of directors will be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will be able to elect all of our directors. Our amended and restated certificate of incorporation provides for the removal of any of our directors only for cause and requires a stockholder vote by the holders of at least a 66 2/3% of the voting power of the then outstanding voting stock. Furthermore, any vacancy on our board of directors, however occurring, including a vacancy resulting from an increase in the size of the board, may only be filled by the affirmative vote of a majority of the directors then in office unless the board of directors determines that such vacancies shall be filled by the stockholders. This system of electing and removing directors and filling vacancies may tend to discourage a third party from making a tender offer or otherwise attempting to obtain control of us, because it generally makes it more difficult for stockholders to replace a majority of the directors.</w:t>
      </w:r>
    </w:p>
    <w:p>
      <w:pPr>
        <w:spacing w:after="0" w:line="1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Choice of Forum</w:t>
      </w:r>
    </w:p>
    <w:p>
      <w:pPr>
        <w:spacing w:after="0" w:line="216" w:lineRule="exact"/>
        <w:rPr>
          <w:sz w:val="20"/>
          <w:szCs w:val="20"/>
          <w:color w:val="auto"/>
        </w:rPr>
      </w:pPr>
    </w:p>
    <w:p>
      <w:pPr>
        <w:ind w:left="200" w:right="239" w:firstLine="551"/>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provide that, unless we consent in writing to the selection of an alternative forum, the Court of Chancery of the State of Delaware will be the exclusive forum for: any derivative action or proceeding brought on our behalf; any action asserting a claim of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Although our amended and restated certificate of incorporation and amended and restated bylaws contain the choice of forum provision described above, it is possible that a court could find that such a provision is inapplicable for a particular claim or action or that such provision is unenforceable.</w:t>
      </w:r>
    </w:p>
    <w:p>
      <w:pPr>
        <w:spacing w:after="0" w:line="1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Amendment of Charter Provisions</w:t>
      </w:r>
    </w:p>
    <w:p>
      <w:pPr>
        <w:spacing w:after="0" w:line="229" w:lineRule="exact"/>
        <w:rPr>
          <w:sz w:val="20"/>
          <w:szCs w:val="20"/>
          <w:color w:val="auto"/>
        </w:rPr>
      </w:pPr>
    </w:p>
    <w:p>
      <w:pPr>
        <w:jc w:val="both"/>
        <w:ind w:left="200" w:right="259" w:firstLine="551"/>
        <w:spacing w:after="0" w:line="255" w:lineRule="auto"/>
        <w:rPr>
          <w:sz w:val="20"/>
          <w:szCs w:val="20"/>
          <w:color w:val="auto"/>
        </w:rPr>
      </w:pPr>
      <w:r>
        <w:rPr>
          <w:rFonts w:ascii="Times New Roman" w:cs="Times New Roman" w:eastAsia="Times New Roman" w:hAnsi="Times New Roman"/>
          <w:sz w:val="18"/>
          <w:szCs w:val="18"/>
          <w:color w:val="auto"/>
        </w:rPr>
        <w:t>The amendment of any of the above provisions in our amended and restated certificate of incorporation, except for the provision making it possible for our board of directors to issue undesignated preferred stock, or the amendment of any provision in our bylaws (other than by action of the board of directors), requires approval by a stockholder vote by the holders of at least a 66 2/3% of the voting power of the then outstanding voting stock.</w:t>
      </w:r>
    </w:p>
    <w:p>
      <w:pPr>
        <w:spacing w:after="0" w:line="187" w:lineRule="exact"/>
        <w:rPr>
          <w:sz w:val="20"/>
          <w:szCs w:val="20"/>
          <w:color w:val="auto"/>
        </w:rPr>
      </w:pPr>
    </w:p>
    <w:p>
      <w:pPr>
        <w:ind w:left="200" w:right="639" w:firstLine="551"/>
        <w:spacing w:after="0" w:line="275" w:lineRule="auto"/>
        <w:rPr>
          <w:sz w:val="20"/>
          <w:szCs w:val="20"/>
          <w:color w:val="auto"/>
        </w:rPr>
      </w:pPr>
      <w:r>
        <w:rPr>
          <w:rFonts w:ascii="Times New Roman" w:cs="Times New Roman" w:eastAsia="Times New Roman" w:hAnsi="Times New Roman"/>
          <w:sz w:val="17"/>
          <w:szCs w:val="17"/>
          <w:color w:val="auto"/>
        </w:rPr>
        <w:t>The provisions of the Delaware General Corporation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488315</wp:posOffset>
            </wp:positionV>
            <wp:extent cx="545211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14" w:right="1440" w:bottom="1440" w:gutter="0" w:footer="0" w:header="0"/>
        </w:sectPr>
      </w:pPr>
    </w:p>
    <w:bookmarkStart w:id="84" w:name="page85"/>
    <w:bookmarkEnd w:id="84"/>
    <w:p>
      <w:pPr>
        <w:ind w:left="200" w:right="299"/>
        <w:spacing w:after="0" w:line="282" w:lineRule="auto"/>
        <w:rPr>
          <w:sz w:val="20"/>
          <w:szCs w:val="20"/>
          <w:color w:val="auto"/>
        </w:rPr>
      </w:pPr>
      <w:r>
        <w:rPr>
          <w:rFonts w:ascii="Times New Roman" w:cs="Times New Roman" w:eastAsia="Times New Roman" w:hAnsi="Times New Roman"/>
          <w:sz w:val="18"/>
          <w:szCs w:val="18"/>
          <w:color w:val="auto"/>
        </w:rPr>
        <w:t>the effect of preventing changes in our management. It is possible that these provisions could make it more difficult to accomplish transactions that stockholders may otherwise deem to be in their best interests.</w:t>
      </w:r>
    </w:p>
    <w:p>
      <w:pPr>
        <w:spacing w:after="0" w:line="1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Limitations of Liability and Indemnification Matters</w:t>
      </w:r>
    </w:p>
    <w:p>
      <w:pPr>
        <w:spacing w:after="0" w:line="216" w:lineRule="exact"/>
        <w:rPr>
          <w:sz w:val="20"/>
          <w:szCs w:val="20"/>
          <w:color w:val="auto"/>
        </w:rPr>
      </w:pPr>
    </w:p>
    <w:p>
      <w:pPr>
        <w:ind w:left="200" w:right="239" w:firstLine="551"/>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contains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w:t>
      </w:r>
    </w:p>
    <w:p>
      <w:pPr>
        <w:spacing w:after="0" w:line="180" w:lineRule="exact"/>
        <w:rPr>
          <w:sz w:val="20"/>
          <w:szCs w:val="20"/>
          <w:color w:val="auto"/>
        </w:rPr>
      </w:pPr>
    </w:p>
    <w:p>
      <w:pPr>
        <w:ind w:left="1020" w:hanging="325"/>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us or our stockholders;</w:t>
      </w:r>
    </w:p>
    <w:p>
      <w:pPr>
        <w:spacing w:after="0" w:line="225" w:lineRule="exact"/>
        <w:rPr>
          <w:rFonts w:ascii="Times New Roman" w:cs="Times New Roman" w:eastAsia="Times New Roman" w:hAnsi="Times New Roman"/>
          <w:sz w:val="18"/>
          <w:szCs w:val="18"/>
          <w:color w:val="auto"/>
        </w:rPr>
      </w:pPr>
    </w:p>
    <w:p>
      <w:pPr>
        <w:ind w:left="1020" w:hanging="325"/>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225" w:lineRule="exact"/>
        <w:rPr>
          <w:rFonts w:ascii="Times New Roman" w:cs="Times New Roman" w:eastAsia="Times New Roman" w:hAnsi="Times New Roman"/>
          <w:sz w:val="18"/>
          <w:szCs w:val="18"/>
          <w:color w:val="auto"/>
        </w:rPr>
      </w:pPr>
    </w:p>
    <w:p>
      <w:pPr>
        <w:ind w:left="1020" w:right="239" w:hanging="325"/>
        <w:spacing w:after="0" w:line="266"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as provided in Section 174 of the Delaware General Corporation Law; or</w:t>
      </w:r>
    </w:p>
    <w:p>
      <w:pPr>
        <w:spacing w:after="0" w:line="189" w:lineRule="exact"/>
        <w:rPr>
          <w:rFonts w:ascii="Times New Roman" w:cs="Times New Roman" w:eastAsia="Times New Roman" w:hAnsi="Times New Roman"/>
          <w:sz w:val="18"/>
          <w:szCs w:val="18"/>
          <w:color w:val="auto"/>
        </w:rPr>
      </w:pPr>
    </w:p>
    <w:p>
      <w:pPr>
        <w:ind w:left="1020" w:hanging="325"/>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25" w:lineRule="exact"/>
        <w:rPr>
          <w:sz w:val="20"/>
          <w:szCs w:val="20"/>
          <w:color w:val="auto"/>
        </w:rPr>
      </w:pPr>
    </w:p>
    <w:p>
      <w:pPr>
        <w:ind w:left="200" w:right="219" w:firstLine="551"/>
        <w:spacing w:after="0" w:line="250" w:lineRule="auto"/>
        <w:rPr>
          <w:sz w:val="20"/>
          <w:szCs w:val="20"/>
          <w:color w:val="auto"/>
        </w:rPr>
      </w:pPr>
      <w:r>
        <w:rPr>
          <w:rFonts w:ascii="Times New Roman" w:cs="Times New Roman" w:eastAsia="Times New Roman" w:hAnsi="Times New Roman"/>
          <w:sz w:val="18"/>
          <w:szCs w:val="18"/>
          <w:color w:val="auto"/>
        </w:rPr>
        <w:t>Each of our amended and restated certificate of incorporation and amended and restated bylaws provide that we are required to indemnify our directors and officers, in each case to the fullest extent permitted by Delaware law. Our amended and restated bylaws also obligate us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Delaware law. We have entered and expect to continue to enter into agreements to indemnify our directors, executive officers and other employees as determined by our board of directors. With specified exceptions, these agreements provide for indemnification for related expenses including, among other things, attorneys’ fees, judgments, fines and settlement amounts incurred by any of these individuals in any action or proceeding. We believe that these bylaw provisions and indemnification agreements are necessary to attract and retain qualified persons as directors and officers. We also maintain directors’ and officers’ liability insurance.</w:t>
      </w:r>
    </w:p>
    <w:p>
      <w:pPr>
        <w:spacing w:after="0" w:line="194" w:lineRule="exact"/>
        <w:rPr>
          <w:sz w:val="20"/>
          <w:szCs w:val="20"/>
          <w:color w:val="auto"/>
        </w:rPr>
      </w:pPr>
    </w:p>
    <w:p>
      <w:pPr>
        <w:ind w:left="200" w:right="319" w:firstLine="551"/>
        <w:spacing w:after="0" w:line="254"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our amended and restated certificate of incorporation and amended and restated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our stockholders. Further, a stockholder’s investment may be adversely affected to the extent that we pay the costs of settlement and damages.</w:t>
      </w:r>
    </w:p>
    <w:p>
      <w:pPr>
        <w:spacing w:after="0" w:line="1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200" w:right="239" w:firstLine="648"/>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Computershare, Inc. The transfer agent and registrar’s address is 480 Washington Boulevard, 29th Floor, Jersey City, New Jersey 07130.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594360</wp:posOffset>
            </wp:positionV>
            <wp:extent cx="545211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18" w:right="1440" w:bottom="1440" w:gutter="0" w:footer="0" w:header="0"/>
        </w:sectPr>
      </w:pPr>
    </w:p>
    <w:bookmarkStart w:id="85" w:name="page86"/>
    <w:bookmarkEnd w:id="85"/>
    <w:p>
      <w:pPr>
        <w:jc w:val="right"/>
        <w:ind w:right="59"/>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CORVUS PHARMACEUTICALS, INC.</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170" w:lineRule="exact"/>
        <w:rPr>
          <w:sz w:val="20"/>
          <w:szCs w:val="20"/>
          <w:color w:val="auto"/>
        </w:rPr>
      </w:pPr>
    </w:p>
    <w:p>
      <w:pPr>
        <w:ind w:left="60" w:right="119" w:firstLine="648"/>
        <w:spacing w:after="0" w:line="239" w:lineRule="auto"/>
        <w:rPr>
          <w:sz w:val="20"/>
          <w:szCs w:val="20"/>
          <w:color w:val="auto"/>
        </w:rPr>
      </w:pPr>
      <w:r>
        <w:rPr>
          <w:rFonts w:ascii="Times New Roman" w:cs="Times New Roman" w:eastAsia="Times New Roman" w:hAnsi="Times New Roman"/>
          <w:sz w:val="22"/>
          <w:szCs w:val="22"/>
          <w:color w:val="auto"/>
        </w:rPr>
        <w:t>This Employment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and entered into by and between Jeffrey S. Arcara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and Corvus Pharmaceuticals,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(together referred to herein as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effective as of the date Executive commences employment with the Company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 E C I T A L S</w:t>
      </w:r>
    </w:p>
    <w:p>
      <w:pPr>
        <w:spacing w:after="0" w:line="179" w:lineRule="exact"/>
        <w:rPr>
          <w:sz w:val="20"/>
          <w:szCs w:val="20"/>
          <w:color w:val="auto"/>
        </w:rPr>
      </w:pPr>
    </w:p>
    <w:p>
      <w:pPr>
        <w:ind w:left="60" w:right="919" w:firstLine="638"/>
        <w:spacing w:after="0" w:line="258" w:lineRule="auto"/>
        <w:tabs>
          <w:tab w:leader="none" w:pos="135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desires to assure itself of the services of Executive by engaging Executive to perform services under the terms hereof.</w:t>
      </w:r>
    </w:p>
    <w:p>
      <w:pPr>
        <w:spacing w:after="0" w:line="117" w:lineRule="exact"/>
        <w:rPr>
          <w:rFonts w:ascii="Times New Roman" w:cs="Times New Roman" w:eastAsia="Times New Roman" w:hAnsi="Times New Roman"/>
          <w:sz w:val="22"/>
          <w:szCs w:val="22"/>
          <w:color w:val="auto"/>
        </w:rPr>
      </w:pPr>
    </w:p>
    <w:p>
      <w:pPr>
        <w:ind w:left="1340" w:hanging="642"/>
        <w:spacing w:after="0"/>
        <w:tabs>
          <w:tab w:leader="none" w:pos="134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desires to provide services to the Company on the terms herein provided.</w:t>
      </w:r>
    </w:p>
    <w:p>
      <w:pPr>
        <w:spacing w:after="0" w:line="165" w:lineRule="exact"/>
        <w:rPr>
          <w:rFonts w:ascii="Times New Roman" w:cs="Times New Roman" w:eastAsia="Times New Roman" w:hAnsi="Times New Roman"/>
          <w:sz w:val="22"/>
          <w:szCs w:val="22"/>
          <w:color w:val="auto"/>
        </w:rPr>
      </w:pPr>
    </w:p>
    <w:p>
      <w:pPr>
        <w:ind w:left="1340" w:hanging="642"/>
        <w:spacing w:after="0"/>
        <w:tabs>
          <w:tab w:leader="none" w:pos="134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Certain capitalized terms used in this Agreement are defined in Section 11 below.</w:t>
      </w:r>
    </w:p>
    <w:p>
      <w:pPr>
        <w:spacing w:after="0" w:line="179" w:lineRule="exact"/>
        <w:rPr>
          <w:sz w:val="20"/>
          <w:szCs w:val="20"/>
          <w:color w:val="auto"/>
        </w:rPr>
      </w:pPr>
    </w:p>
    <w:p>
      <w:pPr>
        <w:ind w:left="60" w:right="159" w:firstLine="648"/>
        <w:spacing w:after="0" w:line="244" w:lineRule="auto"/>
        <w:rPr>
          <w:sz w:val="20"/>
          <w:szCs w:val="20"/>
          <w:color w:val="auto"/>
        </w:rPr>
      </w:pPr>
      <w:r>
        <w:rPr>
          <w:rFonts w:ascii="Times New Roman" w:cs="Times New Roman" w:eastAsia="Times New Roman" w:hAnsi="Times New Roman"/>
          <w:sz w:val="22"/>
          <w:szCs w:val="22"/>
          <w:color w:val="auto"/>
        </w:rPr>
        <w:t>In consideration of the foregoing, and for other good and valuable consideration, including the respective covenants and agreements set forth below, the receipt and sufficiency of which are hereby acknowledged, the Parties hereto agree as follows:</w:t>
      </w:r>
    </w:p>
    <w:p>
      <w:pPr>
        <w:spacing w:after="0" w:line="129" w:lineRule="exact"/>
        <w:rPr>
          <w:sz w:val="20"/>
          <w:szCs w:val="20"/>
          <w:color w:val="auto"/>
        </w:rPr>
      </w:pPr>
    </w:p>
    <w:p>
      <w:pPr>
        <w:ind w:left="1340" w:hanging="642"/>
        <w:spacing w:after="0"/>
        <w:tabs>
          <w:tab w:leader="none" w:pos="1340"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Employment</w:t>
      </w:r>
      <w:r>
        <w:rPr>
          <w:rFonts w:ascii="Times New Roman" w:cs="Times New Roman" w:eastAsia="Times New Roman" w:hAnsi="Times New Roman"/>
          <w:sz w:val="22"/>
          <w:szCs w:val="22"/>
          <w:b w:val="1"/>
          <w:bCs w:val="1"/>
          <w:color w:val="auto"/>
        </w:rPr>
        <w:t>.</w:t>
      </w:r>
    </w:p>
    <w:p>
      <w:pPr>
        <w:spacing w:after="0" w:line="169" w:lineRule="exact"/>
        <w:rPr>
          <w:rFonts w:ascii="Times New Roman" w:cs="Times New Roman" w:eastAsia="Times New Roman" w:hAnsi="Times New Roman"/>
          <w:sz w:val="22"/>
          <w:szCs w:val="22"/>
          <w:b w:val="1"/>
          <w:bCs w:val="1"/>
          <w:color w:val="auto"/>
        </w:rPr>
      </w:pPr>
    </w:p>
    <w:p>
      <w:pPr>
        <w:jc w:val="both"/>
        <w:ind w:left="60" w:right="59" w:firstLine="1286"/>
        <w:spacing w:after="0" w:line="244" w:lineRule="auto"/>
        <w:tabs>
          <w:tab w:leader="none" w:pos="2004"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xml:space="preserve"> The Company shall employ Executive as a full-time employee of the Company effective as of the Effective Date for the period and in the position set forth in this Section 1, and upon the other terms and conditions herein provided.</w:t>
      </w:r>
    </w:p>
    <w:p>
      <w:pPr>
        <w:spacing w:after="0" w:line="146" w:lineRule="exact"/>
        <w:rPr>
          <w:rFonts w:ascii="Times New Roman" w:cs="Times New Roman" w:eastAsia="Times New Roman" w:hAnsi="Times New Roman"/>
          <w:sz w:val="22"/>
          <w:szCs w:val="22"/>
          <w:color w:val="auto"/>
        </w:rPr>
      </w:pPr>
    </w:p>
    <w:p>
      <w:pPr>
        <w:ind w:left="60" w:right="359" w:firstLine="1286"/>
        <w:spacing w:after="0" w:line="239" w:lineRule="auto"/>
        <w:tabs>
          <w:tab w:leader="none" w:pos="2004"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Position and Duties</w:t>
      </w:r>
      <w:r>
        <w:rPr>
          <w:rFonts w:ascii="Times New Roman" w:cs="Times New Roman" w:eastAsia="Times New Roman" w:hAnsi="Times New Roman"/>
          <w:sz w:val="22"/>
          <w:szCs w:val="22"/>
          <w:color w:val="auto"/>
        </w:rPr>
        <w:t>. Executive shall have the title of Chief Business Officer, and shall report to the Chief Executive Officer of the Company. Executive shall also serve in such other capacity or capacities as the Company may from time to time prescribe. As a Company employee, Executive will be expected to comply with Company policies.</w:t>
      </w:r>
    </w:p>
    <w:p>
      <w:pPr>
        <w:spacing w:after="0" w:line="139" w:lineRule="exact"/>
        <w:rPr>
          <w:rFonts w:ascii="Times New Roman" w:cs="Times New Roman" w:eastAsia="Times New Roman" w:hAnsi="Times New Roman"/>
          <w:sz w:val="22"/>
          <w:szCs w:val="22"/>
          <w:color w:val="auto"/>
        </w:rPr>
      </w:pPr>
    </w:p>
    <w:p>
      <w:pPr>
        <w:ind w:left="60" w:right="219" w:firstLine="1286"/>
        <w:spacing w:after="0" w:line="239" w:lineRule="auto"/>
        <w:tabs>
          <w:tab w:leader="none" w:pos="2004"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Location</w:t>
      </w:r>
      <w:r>
        <w:rPr>
          <w:rFonts w:ascii="Times New Roman" w:cs="Times New Roman" w:eastAsia="Times New Roman" w:hAnsi="Times New Roman"/>
          <w:sz w:val="22"/>
          <w:szCs w:val="22"/>
          <w:color w:val="auto"/>
        </w:rPr>
        <w:t xml:space="preserve">. Executive shall perform services for the Company either at the Company’s offices or, at any other place including Executive’s home office (currently Pennsylvania);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the Company may from time to time require Executive to travel temporarily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other locations in connection with the Company’s business.</w:t>
      </w:r>
    </w:p>
    <w:p>
      <w:pPr>
        <w:spacing w:after="0" w:line="139" w:lineRule="exact"/>
        <w:rPr>
          <w:rFonts w:ascii="Times New Roman" w:cs="Times New Roman" w:eastAsia="Times New Roman" w:hAnsi="Times New Roman"/>
          <w:sz w:val="22"/>
          <w:szCs w:val="22"/>
          <w:color w:val="auto"/>
        </w:rPr>
      </w:pPr>
    </w:p>
    <w:p>
      <w:pPr>
        <w:ind w:left="60" w:right="819" w:firstLine="1286"/>
        <w:spacing w:after="0" w:line="282" w:lineRule="auto"/>
        <w:tabs>
          <w:tab w:leader="none" w:pos="2004"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Exclusivity</w:t>
      </w:r>
      <w:r>
        <w:rPr>
          <w:rFonts w:ascii="Times New Roman" w:cs="Times New Roman" w:eastAsia="Times New Roman" w:hAnsi="Times New Roman"/>
          <w:sz w:val="21"/>
          <w:szCs w:val="21"/>
          <w:color w:val="auto"/>
        </w:rPr>
        <w:t>. During the term of this Agreement, Executive shall devote Executive’s entire working time, attention and energies to the business of the Company.</w:t>
      </w:r>
    </w:p>
    <w:p>
      <w:pPr>
        <w:spacing w:after="0" w:line="103" w:lineRule="exact"/>
        <w:rPr>
          <w:rFonts w:ascii="Times New Roman" w:cs="Times New Roman" w:eastAsia="Times New Roman" w:hAnsi="Times New Roman"/>
          <w:sz w:val="21"/>
          <w:szCs w:val="21"/>
          <w:color w:val="auto"/>
        </w:rPr>
      </w:pPr>
    </w:p>
    <w:p>
      <w:pPr>
        <w:ind w:left="1340" w:hanging="642"/>
        <w:spacing w:after="0"/>
        <w:tabs>
          <w:tab w:leader="none" w:pos="1340"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Compensation and Related Matters.</w:t>
      </w:r>
    </w:p>
    <w:p>
      <w:pPr>
        <w:spacing w:after="0" w:line="169" w:lineRule="exact"/>
        <w:rPr>
          <w:rFonts w:ascii="Times New Roman" w:cs="Times New Roman" w:eastAsia="Times New Roman" w:hAnsi="Times New Roman"/>
          <w:sz w:val="22"/>
          <w:szCs w:val="22"/>
          <w:b w:val="1"/>
          <w:bCs w:val="1"/>
          <w:color w:val="auto"/>
        </w:rPr>
      </w:pPr>
    </w:p>
    <w:p>
      <w:pPr>
        <w:jc w:val="both"/>
        <w:ind w:left="60" w:right="59" w:firstLine="1286"/>
        <w:spacing w:after="0" w:line="244" w:lineRule="auto"/>
        <w:tabs>
          <w:tab w:leader="none" w:pos="2004"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Executive’s annual base salary (“</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will be $300,000.00, less payroll deductions and all required withholdings, payable in accordance with the Company’s normal payroll practices. The Board or a committee of the Board shall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598805</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86" w:name="page87"/>
    <w:bookmarkEnd w:id="86"/>
    <w:p>
      <w:pPr>
        <w:ind w:left="60" w:right="339"/>
        <w:spacing w:after="0" w:line="258" w:lineRule="auto"/>
        <w:rPr>
          <w:sz w:val="20"/>
          <w:szCs w:val="20"/>
          <w:color w:val="auto"/>
        </w:rPr>
      </w:pPr>
      <w:r>
        <w:rPr>
          <w:rFonts w:ascii="Times New Roman" w:cs="Times New Roman" w:eastAsia="Times New Roman" w:hAnsi="Times New Roman"/>
          <w:sz w:val="22"/>
          <w:szCs w:val="22"/>
          <w:color w:val="auto"/>
        </w:rPr>
        <w:t>Executive’s Base Salary periodically and any adjustments to Executive’s Base Salary, if any, will be made solely at the discretion of the Board or a committee of the Board.</w:t>
      </w:r>
    </w:p>
    <w:p>
      <w:pPr>
        <w:spacing w:after="0" w:line="118" w:lineRule="exact"/>
        <w:rPr>
          <w:sz w:val="20"/>
          <w:szCs w:val="20"/>
          <w:color w:val="auto"/>
        </w:rPr>
      </w:pPr>
    </w:p>
    <w:p>
      <w:pPr>
        <w:ind w:left="60" w:right="99" w:firstLine="1286"/>
        <w:spacing w:after="0" w:line="234" w:lineRule="auto"/>
        <w:tabs>
          <w:tab w:leader="none" w:pos="200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Bonus</w:t>
      </w:r>
      <w:r>
        <w:rPr>
          <w:rFonts w:ascii="Times New Roman" w:cs="Times New Roman" w:eastAsia="Times New Roman" w:hAnsi="Times New Roman"/>
          <w:sz w:val="22"/>
          <w:szCs w:val="22"/>
          <w:color w:val="auto"/>
        </w:rPr>
        <w:t>. Executive shall also be eligible for an annual discretionary bonus as determined by the Board or a committee of the Board in its sole discretion, based upon the Board’s or a committee of the Board’s evaluation (in its sole discretion) of the achievement of specific individual and/or Company-wide performance goals. The applicable performance goals shall be established by the Board or a committee of the Board, in their sole discretion, and set out in writing each calendar year. The annual discretionary bonus, if any, shall be payable, less authorized deductions and required withholdings, subject to Executive’s continued employment through the date of payment. The amount of any annual discretionary bonus for which Executive is eligible shall be reviewed by the Board or a committee of the Board from time to time.</w:t>
      </w:r>
    </w:p>
    <w:p>
      <w:pPr>
        <w:spacing w:after="0" w:line="156" w:lineRule="exact"/>
        <w:rPr>
          <w:rFonts w:ascii="Times New Roman" w:cs="Times New Roman" w:eastAsia="Times New Roman" w:hAnsi="Times New Roman"/>
          <w:sz w:val="22"/>
          <w:szCs w:val="22"/>
          <w:color w:val="auto"/>
        </w:rPr>
      </w:pPr>
    </w:p>
    <w:p>
      <w:pPr>
        <w:ind w:left="60" w:right="119" w:firstLine="1286"/>
        <w:spacing w:after="0" w:line="243" w:lineRule="auto"/>
        <w:tabs>
          <w:tab w:leader="none" w:pos="2004"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Stock Option</w:t>
      </w:r>
      <w:r>
        <w:rPr>
          <w:rFonts w:ascii="Times New Roman" w:cs="Times New Roman" w:eastAsia="Times New Roman" w:hAnsi="Times New Roman"/>
          <w:sz w:val="21"/>
          <w:szCs w:val="21"/>
          <w:color w:val="auto"/>
        </w:rPr>
        <w:t>. At the first meeting of the Board or its compensation committee on or after the Effective Date, the Company will recommend that the Board or committee grant Executive an option to purchase a total of 400,000 shares of Company common stock (the “</w:t>
      </w:r>
      <w:r>
        <w:rPr>
          <w:rFonts w:ascii="Times New Roman" w:cs="Times New Roman" w:eastAsia="Times New Roman" w:hAnsi="Times New Roman"/>
          <w:sz w:val="21"/>
          <w:szCs w:val="21"/>
          <w:u w:val="single" w:color="auto"/>
          <w:color w:val="auto"/>
        </w:rPr>
        <w:t>Option</w:t>
      </w:r>
      <w:r>
        <w:rPr>
          <w:rFonts w:ascii="Times New Roman" w:cs="Times New Roman" w:eastAsia="Times New Roman" w:hAnsi="Times New Roman"/>
          <w:sz w:val="21"/>
          <w:szCs w:val="21"/>
          <w:color w:val="auto"/>
        </w:rPr>
        <w:t>”) under the Company’s 2016 Equity Incentive Award Plan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The Option will constitute an “incentive stock option” to the maximum extent permitted by law and have an exercise price per share equal to the closing trading price of the Company’s common stock on the date of grant. The Option will vest and become exercisable as to 1/36th (11,111 shares) of the total number of shares of common stock initially subject thereto on each monthly anniversary of the Effective Date, subject to Executive continuing to provide services to the Company through the applicable vesting date. Notwithstanding the foregoing, in the event that the Board or its compensation committee determines that a Qualifying Business Development Transaction (as defined below) has been completed within twelve months following the Effective Date, then the vesting and exercisability of one hundred thousand (100,000) shares of common stock underlying the Option will thereupon accelerate, subject to Executive continuing to provide services to the Company through the date such Qualifying Business Development Transaction. For the avoidance of doubt, following any such acceleration, the Option shall continue to vest on its original vesting schedule of 1/36</w:t>
      </w:r>
      <w:r>
        <w:rPr>
          <w:rFonts w:ascii="Times New Roman" w:cs="Times New Roman" w:eastAsia="Times New Roman" w:hAnsi="Times New Roman"/>
          <w:sz w:val="15"/>
          <w:szCs w:val="15"/>
          <w:color w:val="auto"/>
        </w:rPr>
        <w:t>th</w:t>
      </w:r>
      <w:r>
        <w:rPr>
          <w:rFonts w:ascii="Times New Roman" w:cs="Times New Roman" w:eastAsia="Times New Roman" w:hAnsi="Times New Roman"/>
          <w:sz w:val="21"/>
          <w:szCs w:val="21"/>
          <w:color w:val="auto"/>
        </w:rPr>
        <w:t xml:space="preserve"> (11,111 shares) of the total number of shares of common stock initially subject thereto on each monthly anniversary of the Effective Date, subject to continued service. For the purposes hereof, “</w:t>
      </w:r>
      <w:r>
        <w:rPr>
          <w:rFonts w:ascii="Times New Roman" w:cs="Times New Roman" w:eastAsia="Times New Roman" w:hAnsi="Times New Roman"/>
          <w:sz w:val="21"/>
          <w:szCs w:val="21"/>
          <w:u w:val="single" w:color="auto"/>
          <w:color w:val="auto"/>
        </w:rPr>
        <w:t>Qualifying Business Development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Transaction</w:t>
      </w:r>
      <w:r>
        <w:rPr>
          <w:rFonts w:ascii="Times New Roman" w:cs="Times New Roman" w:eastAsia="Times New Roman" w:hAnsi="Times New Roman"/>
          <w:sz w:val="21"/>
          <w:szCs w:val="21"/>
          <w:color w:val="auto"/>
        </w:rPr>
        <w:t>” means a business development transaction [approved by the Board] that results in the Company receiving at least forty million dollars ($40 million) cumulative of upfront and/or milestone payments within twelve months following the Effective Date. The Option will be subject to the Plan and the Company’s standard option agreement.</w:t>
      </w:r>
    </w:p>
    <w:p>
      <w:pPr>
        <w:spacing w:after="0" w:line="386" w:lineRule="exact"/>
        <w:rPr>
          <w:rFonts w:ascii="Times New Roman" w:cs="Times New Roman" w:eastAsia="Times New Roman" w:hAnsi="Times New Roman"/>
          <w:sz w:val="21"/>
          <w:szCs w:val="21"/>
          <w:color w:val="auto"/>
        </w:rPr>
      </w:pPr>
    </w:p>
    <w:p>
      <w:pPr>
        <w:ind w:left="60" w:right="259" w:firstLine="1286"/>
        <w:spacing w:after="0" w:line="244" w:lineRule="auto"/>
        <w:tabs>
          <w:tab w:leader="none" w:pos="200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Vacation; Benefits</w:t>
      </w:r>
      <w:r>
        <w:rPr>
          <w:rFonts w:ascii="Times New Roman" w:cs="Times New Roman" w:eastAsia="Times New Roman" w:hAnsi="Times New Roman"/>
          <w:sz w:val="22"/>
          <w:szCs w:val="22"/>
          <w:color w:val="auto"/>
        </w:rPr>
        <w:t>. Executive shall be entitled to paid time-off and such other benefits in accordance with Company policy for similarly situated senior management of the Company.</w:t>
      </w:r>
    </w:p>
    <w:p>
      <w:pPr>
        <w:spacing w:after="0" w:line="132" w:lineRule="exact"/>
        <w:rPr>
          <w:rFonts w:ascii="Times New Roman" w:cs="Times New Roman" w:eastAsia="Times New Roman" w:hAnsi="Times New Roman"/>
          <w:sz w:val="22"/>
          <w:szCs w:val="22"/>
          <w:color w:val="auto"/>
        </w:rPr>
      </w:pPr>
    </w:p>
    <w:p>
      <w:pPr>
        <w:ind w:left="60" w:right="139" w:firstLine="1286"/>
        <w:spacing w:after="0" w:line="244" w:lineRule="auto"/>
        <w:tabs>
          <w:tab w:leader="none" w:pos="200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Business Expenses</w:t>
      </w:r>
      <w:r>
        <w:rPr>
          <w:rFonts w:ascii="Times New Roman" w:cs="Times New Roman" w:eastAsia="Times New Roman" w:hAnsi="Times New Roman"/>
          <w:sz w:val="22"/>
          <w:szCs w:val="22"/>
          <w:color w:val="auto"/>
        </w:rPr>
        <w:t>. The Company shall reimburse Executive for all reasonable business expenses incurred in the conduct of Executive’s duties hereunder in accordance with the Company’s expense reimbursement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87" w:name="page88"/>
    <w:bookmarkEnd w:id="87"/>
    <w:p>
      <w:pPr>
        <w:ind w:left="1340" w:hanging="642"/>
        <w:spacing w:after="0"/>
        <w:tabs>
          <w:tab w:leader="none" w:pos="1340" w:val="left"/>
        </w:tabs>
        <w:numPr>
          <w:ilvl w:val="1"/>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Termination.</w:t>
      </w:r>
    </w:p>
    <w:p>
      <w:pPr>
        <w:spacing w:after="0" w:line="170" w:lineRule="exact"/>
        <w:rPr>
          <w:rFonts w:ascii="Times New Roman" w:cs="Times New Roman" w:eastAsia="Times New Roman" w:hAnsi="Times New Roman"/>
          <w:sz w:val="22"/>
          <w:szCs w:val="22"/>
          <w:b w:val="1"/>
          <w:bCs w:val="1"/>
          <w:color w:val="auto"/>
        </w:rPr>
      </w:pPr>
    </w:p>
    <w:p>
      <w:pPr>
        <w:ind w:left="60" w:right="159" w:firstLine="1286"/>
        <w:spacing w:after="0" w:line="233" w:lineRule="auto"/>
        <w:tabs>
          <w:tab w:leader="none" w:pos="2004" w:val="left"/>
        </w:tabs>
        <w:numPr>
          <w:ilvl w:val="2"/>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At-Will Employment</w:t>
      </w:r>
      <w:r>
        <w:rPr>
          <w:rFonts w:ascii="Times New Roman" w:cs="Times New Roman" w:eastAsia="Times New Roman" w:hAnsi="Times New Roman"/>
          <w:sz w:val="22"/>
          <w:szCs w:val="22"/>
          <w:color w:val="auto"/>
        </w:rPr>
        <w:t>. The Company and Executive acknowledge that Executive’s employment is and shall continue to be “at-will,” as defined under applicable law. This means that it is not for any specified period of time and can be terminated by Executive or by the Company at any time, with or without advance notice, and for any or no particular reason or cause. It also means that Executive’s job duties, title and responsibility and reporting level, work schedule, compensation and benefits, as well as the Company’s personnel policies and procedures, may be changed with prospective effect, with or without notice, at any time in the sole discretion of the Company. This “at-will” nature of Executive’s employment shall remain unchanged during Executive’s tenure as an employee and may not be changed, except in an express writing signed by Executive and a duly authorized member of the Board. If Executive’s employment terminates for any reason, Executive shall not be entitled to any payments, benefits, damages, awards or compensation other than as provided by this Agreement.</w:t>
      </w:r>
    </w:p>
    <w:p>
      <w:pPr>
        <w:spacing w:after="0" w:line="157" w:lineRule="exact"/>
        <w:rPr>
          <w:rFonts w:ascii="Times New Roman" w:cs="Times New Roman" w:eastAsia="Times New Roman" w:hAnsi="Times New Roman"/>
          <w:sz w:val="22"/>
          <w:szCs w:val="22"/>
          <w:color w:val="auto"/>
        </w:rPr>
      </w:pPr>
    </w:p>
    <w:p>
      <w:pPr>
        <w:ind w:left="60" w:right="99" w:firstLine="1286"/>
        <w:spacing w:after="0" w:line="239" w:lineRule="auto"/>
        <w:tabs>
          <w:tab w:leader="none" w:pos="2004" w:val="left"/>
        </w:tabs>
        <w:numPr>
          <w:ilvl w:val="2"/>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Deemed Resignation</w:t>
      </w:r>
      <w:r>
        <w:rPr>
          <w:rFonts w:ascii="Times New Roman" w:cs="Times New Roman" w:eastAsia="Times New Roman" w:hAnsi="Times New Roman"/>
          <w:sz w:val="22"/>
          <w:szCs w:val="22"/>
          <w:color w:val="auto"/>
        </w:rPr>
        <w:t>. Upon termination of Executive’s employment for any reason, Executive shall be deemed to have resigned from all offices and directorships, if any, then held with the Company or any of its affiliates, and, at the Company’s request, Executive shall execute such documents as are necessary or desirable to effectuate such resignations.</w:t>
      </w:r>
    </w:p>
    <w:p>
      <w:pPr>
        <w:spacing w:after="0" w:line="135" w:lineRule="exact"/>
        <w:rPr>
          <w:rFonts w:ascii="Times New Roman" w:cs="Times New Roman" w:eastAsia="Times New Roman" w:hAnsi="Times New Roman"/>
          <w:sz w:val="22"/>
          <w:szCs w:val="22"/>
          <w:color w:val="auto"/>
        </w:rPr>
      </w:pPr>
    </w:p>
    <w:p>
      <w:pPr>
        <w:ind w:left="1340" w:hanging="642"/>
        <w:spacing w:after="0"/>
        <w:tabs>
          <w:tab w:leader="none" w:pos="1340" w:val="left"/>
        </w:tabs>
        <w:numPr>
          <w:ilvl w:val="1"/>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Obligations upon Termination of Employment.</w:t>
      </w:r>
    </w:p>
    <w:p>
      <w:pPr>
        <w:spacing w:after="0" w:line="169" w:lineRule="exact"/>
        <w:rPr>
          <w:rFonts w:ascii="Times New Roman" w:cs="Times New Roman" w:eastAsia="Times New Roman" w:hAnsi="Times New Roman"/>
          <w:sz w:val="22"/>
          <w:szCs w:val="22"/>
          <w:b w:val="1"/>
          <w:bCs w:val="1"/>
          <w:color w:val="auto"/>
        </w:rPr>
      </w:pPr>
    </w:p>
    <w:p>
      <w:pPr>
        <w:ind w:left="2000" w:hanging="654"/>
        <w:spacing w:after="0"/>
        <w:tabs>
          <w:tab w:leader="none" w:pos="2000" w:val="left"/>
        </w:tabs>
        <w:numPr>
          <w:ilvl w:val="2"/>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Executive’s Obligations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60" w:right="99" w:firstLine="1934"/>
        <w:spacing w:after="0" w:line="243" w:lineRule="auto"/>
        <w:tabs>
          <w:tab w:leader="none" w:pos="2652" w:val="left"/>
        </w:tabs>
        <w:numPr>
          <w:ilvl w:val="3"/>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Confidentiality</w:t>
      </w:r>
      <w:r>
        <w:rPr>
          <w:rFonts w:ascii="Times New Roman" w:cs="Times New Roman" w:eastAsia="Times New Roman" w:hAnsi="Times New Roman"/>
          <w:sz w:val="21"/>
          <w:szCs w:val="21"/>
          <w:color w:val="auto"/>
        </w:rPr>
        <w:t>. Without limiting the Employee Confidentiality and Inventions Assignment Agreement executed by Executive (the “</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xml:space="preserve">”), except (A) as Executive reasonably and in good faith determines to be required in the faithful performance of Executive’s duties hereunder, (B) as required by applicable law or (C) in accordance with Section 4(a)(iii) below, while Executive is employed by the Company, and thereafter, Executive shall not directly or indirectly disclose or make available to any person, firm, corporation, association or other entity for any reason or purpose whatsoever, any Confidential Information (as defined below). Upon termination of Executive’s employment with the Company, all Confidential Information in Executive’s possession that is in written or other tangible form (together with all copies or duplicates thereof, including computer files) shall be returned to the Company and shall not be retained by Executive or furnished to any third party, in any form except as provided herein;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Executive shall not be obligated to treat as confidential, or return to the Company copies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of any Confidential Information that (i) was publicly known at the time of disclosure to Executive,</w:t>
      </w:r>
    </w:p>
    <w:p>
      <w:pPr>
        <w:spacing w:after="0" w:line="4" w:lineRule="exact"/>
        <w:rPr>
          <w:rFonts w:ascii="Times New Roman" w:cs="Times New Roman" w:eastAsia="Times New Roman" w:hAnsi="Times New Roman"/>
          <w:sz w:val="21"/>
          <w:szCs w:val="21"/>
          <w:color w:val="auto"/>
        </w:rPr>
      </w:pPr>
    </w:p>
    <w:p>
      <w:pPr>
        <w:ind w:left="60" w:right="119" w:hanging="10"/>
        <w:spacing w:after="0" w:line="243" w:lineRule="auto"/>
        <w:tabs>
          <w:tab w:leader="none" w:pos="378"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becomes publicly known or available thereafter other than by any means in violation of this Agreement or any other duty owed to the Company by any person or entity, or (iii) is lawfully disclosed to Executive by a third party. For purposes of this Agreement, the term “</w:t>
      </w:r>
      <w:r>
        <w:rPr>
          <w:rFonts w:ascii="Times New Roman" w:cs="Times New Roman" w:eastAsia="Times New Roman" w:hAnsi="Times New Roman"/>
          <w:sz w:val="21"/>
          <w:szCs w:val="21"/>
          <w:u w:val="single" w:color="auto"/>
          <w:color w:val="auto"/>
        </w:rPr>
        <w:t>Confidential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Information</w:t>
      </w:r>
      <w:r>
        <w:rPr>
          <w:rFonts w:ascii="Times New Roman" w:cs="Times New Roman" w:eastAsia="Times New Roman" w:hAnsi="Times New Roman"/>
          <w:sz w:val="21"/>
          <w:szCs w:val="21"/>
          <w:color w:val="auto"/>
        </w:rPr>
        <w:t>” shall mean information disclosed to Executive or known by Executive as a consequence of or through his or her relationship with the Company, about the customers, employees, business methods, public relations methods, organization, procedures or finances, including, without limitation, information of or relating to customer lists, of the Company and its affiliates. In addition, Executive shall continue to be subject to the Confidential Information Agreement.</w:t>
      </w:r>
    </w:p>
    <w:p>
      <w:pPr>
        <w:spacing w:after="0" w:line="139" w:lineRule="exact"/>
        <w:rPr>
          <w:rFonts w:ascii="Times New Roman" w:cs="Times New Roman" w:eastAsia="Times New Roman" w:hAnsi="Times New Roman"/>
          <w:sz w:val="21"/>
          <w:szCs w:val="21"/>
          <w:color w:val="auto"/>
        </w:rPr>
      </w:pPr>
    </w:p>
    <w:p>
      <w:pPr>
        <w:ind w:left="2640" w:hanging="646"/>
        <w:spacing w:after="0"/>
        <w:tabs>
          <w:tab w:leader="none" w:pos="2640" w:val="left"/>
        </w:tabs>
        <w:numPr>
          <w:ilvl w:val="3"/>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Non-Solicitation</w:t>
      </w:r>
      <w:r>
        <w:rPr>
          <w:rFonts w:ascii="Times New Roman" w:cs="Times New Roman" w:eastAsia="Times New Roman" w:hAnsi="Times New Roman"/>
          <w:sz w:val="22"/>
          <w:szCs w:val="22"/>
          <w:color w:val="auto"/>
        </w:rPr>
        <w:t>. In addition to each Executive’s obligations under the</w:t>
      </w:r>
    </w:p>
    <w:p>
      <w:pPr>
        <w:spacing w:after="0" w:line="14" w:lineRule="exact"/>
        <w:rPr>
          <w:rFonts w:ascii="Times New Roman" w:cs="Times New Roman" w:eastAsia="Times New Roman" w:hAnsi="Times New Roman"/>
          <w:sz w:val="22"/>
          <w:szCs w:val="22"/>
          <w:color w:val="auto"/>
        </w:rPr>
      </w:pPr>
    </w:p>
    <w:p>
      <w:pPr>
        <w:ind w:left="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Confidential Information Agreement, Executive shall not for a period of one (1) year</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88" w:name="page89"/>
    <w:bookmarkEnd w:id="88"/>
    <w:p>
      <w:pPr>
        <w:ind w:left="60" w:right="159"/>
        <w:spacing w:after="0" w:line="234" w:lineRule="auto"/>
        <w:rPr>
          <w:sz w:val="20"/>
          <w:szCs w:val="20"/>
          <w:color w:val="auto"/>
        </w:rPr>
      </w:pPr>
      <w:r>
        <w:rPr>
          <w:rFonts w:ascii="Times New Roman" w:cs="Times New Roman" w:eastAsia="Times New Roman" w:hAnsi="Times New Roman"/>
          <w:sz w:val="22"/>
          <w:szCs w:val="22"/>
          <w:color w:val="auto"/>
        </w:rPr>
        <w:t xml:space="preserve">following Executive’s termination of employment for any reason, either on Executive’s own account or jointly with or as a manager, agent, officer, employee, consultant, partner, joint venturer, owner or stockholder or otherwise on behalf of any other person, firm or corporation, directly or indirectly solicit or attempt to solicit away from the Company any of its officers or employees or offer employment to any person who is an officer or employee of the Company;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a general advertisement to which an employee of the Company responds shall in no event be deemed to result in a breach of this Section 4(a). Executive also agrees not to harass or disparage the Company or its employees, clients, directors or agents or divert or attempt to divert any actual or potential business of the Company.</w:t>
      </w:r>
    </w:p>
    <w:p>
      <w:pPr>
        <w:spacing w:after="0" w:line="143" w:lineRule="exact"/>
        <w:rPr>
          <w:sz w:val="20"/>
          <w:szCs w:val="20"/>
          <w:color w:val="auto"/>
        </w:rPr>
      </w:pPr>
    </w:p>
    <w:p>
      <w:pPr>
        <w:ind w:left="60" w:right="279" w:firstLine="1934"/>
        <w:spacing w:after="0" w:line="238" w:lineRule="auto"/>
        <w:tabs>
          <w:tab w:leader="none" w:pos="2652" w:val="left"/>
        </w:tabs>
        <w:numPr>
          <w:ilvl w:val="2"/>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Response to Legal Process</w:t>
      </w:r>
      <w:r>
        <w:rPr>
          <w:rFonts w:ascii="Times New Roman" w:cs="Times New Roman" w:eastAsia="Times New Roman" w:hAnsi="Times New Roman"/>
          <w:sz w:val="22"/>
          <w:szCs w:val="22"/>
          <w:color w:val="auto"/>
        </w:rPr>
        <w:t>. Executive may respond to a lawful and valid subpoena or other legal process but shall give the Company the earliest possible notice thereof, and shall, as much in advance of the return date as possible, make available to the Company and its counsel the documents and other information sought, and shall assist such counsel in resisting or otherwise responding to such process.</w:t>
      </w:r>
    </w:p>
    <w:p>
      <w:pPr>
        <w:spacing w:after="0" w:line="149" w:lineRule="exact"/>
        <w:rPr>
          <w:rFonts w:ascii="Times New Roman" w:cs="Times New Roman" w:eastAsia="Times New Roman" w:hAnsi="Times New Roman"/>
          <w:sz w:val="22"/>
          <w:szCs w:val="22"/>
          <w:color w:val="auto"/>
        </w:rPr>
      </w:pPr>
    </w:p>
    <w:p>
      <w:pPr>
        <w:ind w:left="60" w:right="59" w:firstLine="1934"/>
        <w:spacing w:after="0" w:line="235" w:lineRule="auto"/>
        <w:tabs>
          <w:tab w:leader="none" w:pos="2652" w:val="left"/>
        </w:tabs>
        <w:numPr>
          <w:ilvl w:val="2"/>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 of Provisions</w:t>
      </w:r>
      <w:r>
        <w:rPr>
          <w:rFonts w:ascii="Times New Roman" w:cs="Times New Roman" w:eastAsia="Times New Roman" w:hAnsi="Times New Roman"/>
          <w:sz w:val="22"/>
          <w:szCs w:val="22"/>
          <w:color w:val="auto"/>
        </w:rPr>
        <w:t>. The provisions of this Section 4(a) shall survive the termination or expiration of the applicable Executive’s employment with the Company and shall be fully enforceable thereafter. If it is determined by a court of competent jurisdiction in any state that any restriction in this Section 4(a) is excessive in duration or scope or is unreasonable or unenforceable under the laws of that state, it is the intention of the parties that such restriction may be modified or amended by the court to render it enforceable to the maximum extent permitted by the law of that state.</w:t>
      </w:r>
    </w:p>
    <w:p>
      <w:pPr>
        <w:spacing w:after="0" w:line="142" w:lineRule="exact"/>
        <w:rPr>
          <w:rFonts w:ascii="Times New Roman" w:cs="Times New Roman" w:eastAsia="Times New Roman" w:hAnsi="Times New Roman"/>
          <w:sz w:val="22"/>
          <w:szCs w:val="22"/>
          <w:color w:val="auto"/>
        </w:rPr>
      </w:pPr>
    </w:p>
    <w:p>
      <w:pPr>
        <w:ind w:left="60" w:right="99" w:firstLine="1286"/>
        <w:spacing w:after="0" w:line="247" w:lineRule="auto"/>
        <w:tabs>
          <w:tab w:leader="none" w:pos="2004"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Payments of Accrued Obligations upon Termination of Employment</w:t>
      </w:r>
      <w:r>
        <w:rPr>
          <w:rFonts w:ascii="Times New Roman" w:cs="Times New Roman" w:eastAsia="Times New Roman" w:hAnsi="Times New Roman"/>
          <w:sz w:val="21"/>
          <w:szCs w:val="21"/>
          <w:color w:val="auto"/>
        </w:rPr>
        <w:t>. Upon a termination of Executive’s employment for any reason, Executive (or Executive’s estate or legal representative, as applicable) shall be entitled to receive, within ten (10) days after the date Executive terminates employment with the Company (or such earlier date as may be required by applicable law):</w:t>
      </w:r>
    </w:p>
    <w:p>
      <w:pPr>
        <w:spacing w:after="0" w:line="1" w:lineRule="exact"/>
        <w:rPr>
          <w:rFonts w:ascii="Times New Roman" w:cs="Times New Roman" w:eastAsia="Times New Roman" w:hAnsi="Times New Roman"/>
          <w:sz w:val="21"/>
          <w:szCs w:val="21"/>
          <w:color w:val="auto"/>
        </w:rPr>
      </w:pPr>
    </w:p>
    <w:p>
      <w:pPr>
        <w:ind w:left="60" w:right="159" w:hanging="10"/>
        <w:spacing w:after="0" w:line="232" w:lineRule="auto"/>
        <w:tabs>
          <w:tab w:leader="none" w:pos="31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portion of Executive’s annual base salary earned through Executive’s termination date not theretofore paid, (ii) any expenses owed to Executive under Section 2(e) above, (iii) any accrued but unused vacation pay owed to Executive pursuant to Section 2(d) above, and (iv) any amount arising from Executive’s participation in, or benefits under, any employee benefit plans, programs or arrangements under Section 2(d) above, which amounts shall be payable in accordance with the terms and conditions of such employee benefit plans, programs or arrangements.</w:t>
      </w:r>
    </w:p>
    <w:p>
      <w:pPr>
        <w:spacing w:after="0" w:line="142" w:lineRule="exact"/>
        <w:rPr>
          <w:rFonts w:ascii="Times New Roman" w:cs="Times New Roman" w:eastAsia="Times New Roman" w:hAnsi="Times New Roman"/>
          <w:sz w:val="22"/>
          <w:szCs w:val="22"/>
          <w:color w:val="auto"/>
        </w:rPr>
      </w:pPr>
    </w:p>
    <w:p>
      <w:pPr>
        <w:ind w:left="60" w:right="139" w:firstLine="1286"/>
        <w:spacing w:after="0" w:line="235" w:lineRule="auto"/>
        <w:tabs>
          <w:tab w:leader="none" w:pos="2004"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 Payments upon a Covered Termination Other Than During a Change in Control Period</w:t>
      </w:r>
      <w:r>
        <w:rPr>
          <w:rFonts w:ascii="Times New Roman" w:cs="Times New Roman" w:eastAsia="Times New Roman" w:hAnsi="Times New Roman"/>
          <w:sz w:val="22"/>
          <w:szCs w:val="22"/>
          <w:color w:val="auto"/>
        </w:rPr>
        <w:t>. If Executive experiences a Covered Termination at any time other than during a Change in Control Period, and if Executive executes a general release of all claims against the Company and its affiliates in a form acceptable to the Company (a “</w:t>
      </w:r>
      <w:r>
        <w:rPr>
          <w:rFonts w:ascii="Times New Roman" w:cs="Times New Roman" w:eastAsia="Times New Roman" w:hAnsi="Times New Roman"/>
          <w:sz w:val="22"/>
          <w:szCs w:val="22"/>
          <w:u w:val="single" w:color="auto"/>
          <w:color w:val="auto"/>
        </w:rPr>
        <w:t>Release of Claims</w:t>
      </w:r>
      <w:r>
        <w:rPr>
          <w:rFonts w:ascii="Times New Roman" w:cs="Times New Roman" w:eastAsia="Times New Roman" w:hAnsi="Times New Roman"/>
          <w:sz w:val="22"/>
          <w:szCs w:val="22"/>
          <w:color w:val="auto"/>
        </w:rPr>
        <w:t>”) that becomes effective and irrevocable within sixty (60) days, or such shorter period of time specified by the Company, following such Covered Termination, then in addition to any accrued obligations payable under Section 4(b) above, the Company shall provide Executive with the following:</w:t>
      </w:r>
    </w:p>
    <w:p>
      <w:pPr>
        <w:spacing w:after="0" w:line="156" w:lineRule="exact"/>
        <w:rPr>
          <w:rFonts w:ascii="Times New Roman" w:cs="Times New Roman" w:eastAsia="Times New Roman" w:hAnsi="Times New Roman"/>
          <w:sz w:val="22"/>
          <w:szCs w:val="22"/>
          <w:color w:val="auto"/>
        </w:rPr>
      </w:pPr>
    </w:p>
    <w:p>
      <w:pPr>
        <w:ind w:left="2640" w:hanging="568"/>
        <w:spacing w:after="0"/>
        <w:tabs>
          <w:tab w:leader="none" w:pos="2640" w:val="left"/>
        </w:tabs>
        <w:numPr>
          <w:ilvl w:val="3"/>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w:t>
      </w:r>
      <w:r>
        <w:rPr>
          <w:rFonts w:ascii="Times New Roman" w:cs="Times New Roman" w:eastAsia="Times New Roman" w:hAnsi="Times New Roman"/>
          <w:sz w:val="22"/>
          <w:szCs w:val="22"/>
          <w:color w:val="auto"/>
        </w:rPr>
        <w:t>. Executive shall be entitled to receive an amount equal to six</w:t>
      </w:r>
    </w:p>
    <w:p>
      <w:pPr>
        <w:spacing w:after="0" w:line="14" w:lineRule="exact"/>
        <w:rPr>
          <w:rFonts w:ascii="Times New Roman" w:cs="Times New Roman" w:eastAsia="Times New Roman" w:hAnsi="Times New Roman"/>
          <w:sz w:val="22"/>
          <w:szCs w:val="22"/>
          <w:color w:val="auto"/>
        </w:rPr>
      </w:pPr>
    </w:p>
    <w:p>
      <w:pPr>
        <w:ind w:left="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 months of Executive’s then-existing base salary in effect as of Executive’s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89" w:name="page90"/>
    <w:bookmarkEnd w:id="89"/>
    <w:p>
      <w:pPr>
        <w:ind w:left="60" w:right="879"/>
        <w:spacing w:after="0" w:line="282" w:lineRule="auto"/>
        <w:rPr>
          <w:sz w:val="20"/>
          <w:szCs w:val="20"/>
          <w:color w:val="auto"/>
        </w:rPr>
      </w:pPr>
      <w:r>
        <w:rPr>
          <w:rFonts w:ascii="Times New Roman" w:cs="Times New Roman" w:eastAsia="Times New Roman" w:hAnsi="Times New Roman"/>
          <w:sz w:val="21"/>
          <w:szCs w:val="21"/>
          <w:color w:val="auto"/>
        </w:rPr>
        <w:t>date, less applicable withholdings, and payable in a lump sum on the first regular payroll date following the date of Executive’s Release of Claims becomes effective and irrevocable.</w:t>
      </w:r>
    </w:p>
    <w:p>
      <w:pPr>
        <w:spacing w:after="0" w:line="94" w:lineRule="exact"/>
        <w:rPr>
          <w:sz w:val="20"/>
          <w:szCs w:val="20"/>
          <w:color w:val="auto"/>
        </w:rPr>
      </w:pPr>
    </w:p>
    <w:p>
      <w:pPr>
        <w:ind w:left="60" w:right="79" w:firstLine="1934"/>
        <w:spacing w:after="0" w:line="232" w:lineRule="auto"/>
        <w:tabs>
          <w:tab w:leader="none" w:pos="2652"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Continued Healthcare</w:t>
      </w:r>
      <w:r>
        <w:rPr>
          <w:rFonts w:ascii="Times New Roman" w:cs="Times New Roman" w:eastAsia="Times New Roman" w:hAnsi="Times New Roman"/>
          <w:sz w:val="22"/>
          <w:szCs w:val="22"/>
          <w:color w:val="auto"/>
        </w:rPr>
        <w:t>. The Company shall notify Executive of any right to continue group health plan coverage sponsored by the Company or an affiliate of the Company immediately prior to Executive’s date of termination pursuant to the provisions of the Consolidated Omnibus Budget Reconciliation Act of 1985, as amended (“</w:t>
      </w:r>
      <w:r>
        <w:rPr>
          <w:rFonts w:ascii="Times New Roman" w:cs="Times New Roman" w:eastAsia="Times New Roman" w:hAnsi="Times New Roman"/>
          <w:sz w:val="22"/>
          <w:szCs w:val="22"/>
          <w:u w:val="single" w:color="auto"/>
          <w:color w:val="auto"/>
        </w:rPr>
        <w:t>COBRA</w:t>
      </w:r>
      <w:r>
        <w:rPr>
          <w:rFonts w:ascii="Times New Roman" w:cs="Times New Roman" w:eastAsia="Times New Roman" w:hAnsi="Times New Roman"/>
          <w:sz w:val="22"/>
          <w:szCs w:val="22"/>
          <w:color w:val="auto"/>
        </w:rPr>
        <w:t>”). If Executive elects to receive such continued healthcare coverage, the Company shall directly pay, or reimburse Executive for, the premium for Executive and Executive’s covered dependents for the period commencing on the first day of the first full calendar month following the date the Release of Claims becomes effective and irrevocable through the earlier of (i) the last day of the sixth (6th ) full calendar month following the date the Release of Claims becomes effective and irrevocable and (ii) the date Executive and Executive’s covered dependents, if any, become eligible for healthcare coverage under another employer’s plan(s) (of which eligibility Executive agrees to give prompt notice to the Company). Notwithstanding the foregoing, (i) if any plan pursuant to which such benefits are provided is not, or ceases prior to the expiration of the period of continuation coverage to be, exempt from the application of Section 409A of the Code under Treasury Regulation Section 1.409A-1(a)(5), or (ii) the Company is otherwise unable to continue to cover Executive under its group health plans without penalty under applicable law (including without limitation, Section 2716 of the Public Health Service Act), then, in either case, an amount equal to each remaining Company subsidy shall thereafter be paid to Executive in substantially equal monthly installments. After the Company ceases to pay premiums pursuant to this Section 4(c)(ii), Executive may, if eligible, elect to continue healthcare coverage at Executive’s expense in accordance the provisions of COBRA.</w:t>
      </w:r>
    </w:p>
    <w:p>
      <w:pPr>
        <w:spacing w:after="0" w:line="158" w:lineRule="exact"/>
        <w:rPr>
          <w:rFonts w:ascii="Times New Roman" w:cs="Times New Roman" w:eastAsia="Times New Roman" w:hAnsi="Times New Roman"/>
          <w:sz w:val="22"/>
          <w:szCs w:val="22"/>
          <w:color w:val="auto"/>
        </w:rPr>
      </w:pPr>
    </w:p>
    <w:p>
      <w:pPr>
        <w:ind w:left="60" w:right="199" w:firstLine="1934"/>
        <w:spacing w:after="0" w:line="249" w:lineRule="auto"/>
        <w:tabs>
          <w:tab w:leader="none" w:pos="2652" w:val="left"/>
        </w:tabs>
        <w:numPr>
          <w:ilvl w:val="1"/>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Equity Awards</w:t>
      </w:r>
      <w:r>
        <w:rPr>
          <w:rFonts w:ascii="Times New Roman" w:cs="Times New Roman" w:eastAsia="Times New Roman" w:hAnsi="Times New Roman"/>
          <w:sz w:val="21"/>
          <w:szCs w:val="21"/>
          <w:color w:val="auto"/>
        </w:rPr>
        <w:t>. Each outstanding equity award, including, without limitation, each stock option and restricted stock award, that vests based solely upon Executive’s continued service shall automatically become vested and, if applicable, exercisable and any forfeiture restrictions or rights of repurchase thereon shall immediately lapse, in each case, with respect to the number of shares that would have vested in the three (3)-month period following the date of such termination had Executive remained employed by the Company during such three (3)-month period.</w:t>
      </w:r>
    </w:p>
    <w:p>
      <w:pPr>
        <w:spacing w:after="0" w:line="130" w:lineRule="exact"/>
        <w:rPr>
          <w:rFonts w:ascii="Times New Roman" w:cs="Times New Roman" w:eastAsia="Times New Roman" w:hAnsi="Times New Roman"/>
          <w:sz w:val="21"/>
          <w:szCs w:val="21"/>
          <w:color w:val="auto"/>
        </w:rPr>
      </w:pPr>
    </w:p>
    <w:p>
      <w:pPr>
        <w:ind w:left="60" w:right="119" w:firstLine="1286"/>
        <w:spacing w:after="0" w:line="236" w:lineRule="auto"/>
        <w:tabs>
          <w:tab w:leader="none" w:pos="2004"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 Payments upon a Covered Termination During a Change in Control Period</w:t>
      </w:r>
      <w:r>
        <w:rPr>
          <w:rFonts w:ascii="Times New Roman" w:cs="Times New Roman" w:eastAsia="Times New Roman" w:hAnsi="Times New Roman"/>
          <w:sz w:val="22"/>
          <w:szCs w:val="22"/>
          <w:color w:val="auto"/>
        </w:rPr>
        <w:t>. If Executive experiences a Covered Termination during a Change in Control Period, and if Executive executes a Release of Claims that becomes effective and irrevocable within sixty (60) days, or such shorter period of time specified by the Company, following such Covered Termination, then in addition to any accrued obligations payable under Section 4(b) above, the Company shall provide Executive with the following:</w:t>
      </w:r>
    </w:p>
    <w:p>
      <w:pPr>
        <w:spacing w:after="0" w:line="140" w:lineRule="exact"/>
        <w:rPr>
          <w:rFonts w:ascii="Times New Roman" w:cs="Times New Roman" w:eastAsia="Times New Roman" w:hAnsi="Times New Roman"/>
          <w:sz w:val="22"/>
          <w:szCs w:val="22"/>
          <w:color w:val="auto"/>
        </w:rPr>
      </w:pPr>
    </w:p>
    <w:p>
      <w:pPr>
        <w:ind w:left="2640" w:hanging="646"/>
        <w:spacing w:after="0"/>
        <w:tabs>
          <w:tab w:leader="none" w:pos="2640" w:val="left"/>
        </w:tabs>
        <w:numPr>
          <w:ilvl w:val="1"/>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Severance</w:t>
      </w:r>
      <w:r>
        <w:rPr>
          <w:rFonts w:ascii="Times New Roman" w:cs="Times New Roman" w:eastAsia="Times New Roman" w:hAnsi="Times New Roman"/>
          <w:sz w:val="21"/>
          <w:szCs w:val="21"/>
          <w:color w:val="auto"/>
        </w:rPr>
        <w:t>. Executive shall be entitled to receive an amount equal to the</w:t>
      </w:r>
    </w:p>
    <w:p>
      <w:pPr>
        <w:spacing w:after="0" w:line="25" w:lineRule="exact"/>
        <w:rPr>
          <w:rFonts w:ascii="Times New Roman" w:cs="Times New Roman" w:eastAsia="Times New Roman" w:hAnsi="Times New Roman"/>
          <w:sz w:val="21"/>
          <w:szCs w:val="21"/>
          <w:color w:val="auto"/>
        </w:rPr>
      </w:pPr>
    </w:p>
    <w:p>
      <w:pPr>
        <w:ind w:left="60" w:right="99"/>
        <w:spacing w:after="0" w:line="23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sum of: (i) nine (9) months of Executive’s base salary and (ii) nine (9) months of Executive’s target annual bonus, in each case, at the rate in effect immediately prior to the termination date, less applicable withholdings, and payable in a lump sum on the first regular payroll date following the date of Executive’s Release of Claims becomes effective and irrevocable.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90" w:name="page91"/>
    <w:bookmarkEnd w:id="90"/>
    <w:p>
      <w:pPr>
        <w:ind w:left="60" w:right="79" w:firstLine="1934"/>
        <w:spacing w:after="0" w:line="243" w:lineRule="auto"/>
        <w:tabs>
          <w:tab w:leader="none" w:pos="2652" w:val="left"/>
        </w:tabs>
        <w:numPr>
          <w:ilvl w:val="2"/>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Continued Healthcare</w:t>
      </w:r>
      <w:r>
        <w:rPr>
          <w:rFonts w:ascii="Times New Roman" w:cs="Times New Roman" w:eastAsia="Times New Roman" w:hAnsi="Times New Roman"/>
          <w:sz w:val="21"/>
          <w:szCs w:val="21"/>
          <w:color w:val="auto"/>
        </w:rPr>
        <w:t>. The Company shall notify Executive of any right to continue group health plan coverage sponsored by the Company or an affiliate of the Company immediately prior to Executive’s date of termination pursuant to the provisions of COBRA. If Executive elects to receive such continued healthcare coverage, the Company shall directly pay, or reimburse Executive for, the premium for Executive and Executive’s covered dependents for the period commencing on the first day of the first full calendar month following the date the Release of Claims becomes effective and irrevocable through the earlier of (i) the last day of the ninth (9</w:t>
      </w:r>
      <w:r>
        <w:rPr>
          <w:rFonts w:ascii="Times New Roman" w:cs="Times New Roman" w:eastAsia="Times New Roman" w:hAnsi="Times New Roman"/>
          <w:sz w:val="15"/>
          <w:szCs w:val="15"/>
          <w:color w:val="auto"/>
        </w:rPr>
        <w:t>th</w:t>
      </w:r>
      <w:r>
        <w:rPr>
          <w:rFonts w:ascii="Times New Roman" w:cs="Times New Roman" w:eastAsia="Times New Roman" w:hAnsi="Times New Roman"/>
          <w:sz w:val="21"/>
          <w:szCs w:val="21"/>
          <w:color w:val="auto"/>
        </w:rPr>
        <w:t>) full calendar month following the date the Release of Claims becomes effective and irrevocable and (ii) the date Executive and Executive’s covered dependents, if any, become eligible for healthcare coverage under another employer’s plan(s) (of which eligibility Executive agrees to give prompt notice to the Company). Notwithstanding the foregoing, (i) if any plan pursuant to which such benefits are provided is not, or ceases prior to the expiration of the period of continuation coverage to be, exempt from the application of Section 409A of the Code under Treasury Regulation Section 1.409A-1(a)(5), or (ii) the Company is otherwise unable to continue to cover Executive under its group health plans without penalty under applicable law (including without limitation, Section 2716 of the Public Health Service Act), then, in either case, an amount equal to each remaining Company subsidy shall thereafter be paid to Executive in substantially equal monthly installments. After the Company ceases to pay premiums pursuant to this Section 4(d)(ii), Executive may, if eligible, elect to continue healthcare coverage at Executive’s expense in accordance the provisions of COBRA.</w:t>
      </w:r>
    </w:p>
    <w:p>
      <w:pPr>
        <w:spacing w:after="0" w:line="146" w:lineRule="exact"/>
        <w:rPr>
          <w:rFonts w:ascii="Times New Roman" w:cs="Times New Roman" w:eastAsia="Times New Roman" w:hAnsi="Times New Roman"/>
          <w:sz w:val="21"/>
          <w:szCs w:val="21"/>
          <w:color w:val="auto"/>
        </w:rPr>
      </w:pPr>
    </w:p>
    <w:p>
      <w:pPr>
        <w:ind w:left="60" w:right="99" w:firstLine="1934"/>
        <w:spacing w:after="0" w:line="238" w:lineRule="auto"/>
        <w:tabs>
          <w:tab w:leader="none" w:pos="2652" w:val="left"/>
        </w:tabs>
        <w:numPr>
          <w:ilvl w:val="2"/>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 Awards</w:t>
      </w:r>
      <w:r>
        <w:rPr>
          <w:rFonts w:ascii="Times New Roman" w:cs="Times New Roman" w:eastAsia="Times New Roman" w:hAnsi="Times New Roman"/>
          <w:sz w:val="22"/>
          <w:szCs w:val="22"/>
          <w:color w:val="auto"/>
        </w:rPr>
        <w:t>. Each outstanding and unvested equity award, including, without limitation, each stock option and restricted stock award, held by Executive shall automatically become vested and, if applicable, exercisable and any forfeiture restrictions or rights of repurchase thereon shall immediately lapse, in each case, with respect to one hundred percent (100%) of the unvested shares underlying Executive’s equity awards as of the termination date.</w:t>
      </w:r>
    </w:p>
    <w:p>
      <w:pPr>
        <w:spacing w:after="0" w:line="149" w:lineRule="exact"/>
        <w:rPr>
          <w:rFonts w:ascii="Times New Roman" w:cs="Times New Roman" w:eastAsia="Times New Roman" w:hAnsi="Times New Roman"/>
          <w:sz w:val="22"/>
          <w:szCs w:val="22"/>
          <w:color w:val="auto"/>
        </w:rPr>
      </w:pPr>
    </w:p>
    <w:p>
      <w:pPr>
        <w:ind w:left="60" w:right="59" w:firstLine="1286"/>
        <w:spacing w:after="0" w:line="258" w:lineRule="auto"/>
        <w:tabs>
          <w:tab w:leader="none" w:pos="2004"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Other Severance.</w:t>
      </w:r>
      <w:r>
        <w:rPr>
          <w:rFonts w:ascii="Times New Roman" w:cs="Times New Roman" w:eastAsia="Times New Roman" w:hAnsi="Times New Roman"/>
          <w:sz w:val="22"/>
          <w:szCs w:val="22"/>
          <w:color w:val="auto"/>
        </w:rPr>
        <w:t xml:space="preserve"> The provisions of this Section 4 shall supersede in their entirety any severance payment or other arrangement provided by the Company.</w:t>
      </w:r>
    </w:p>
    <w:p>
      <w:pPr>
        <w:spacing w:after="0" w:line="117" w:lineRule="exact"/>
        <w:rPr>
          <w:rFonts w:ascii="Times New Roman" w:cs="Times New Roman" w:eastAsia="Times New Roman" w:hAnsi="Times New Roman"/>
          <w:sz w:val="22"/>
          <w:szCs w:val="22"/>
          <w:color w:val="auto"/>
        </w:rPr>
      </w:pPr>
    </w:p>
    <w:p>
      <w:pPr>
        <w:ind w:left="60" w:right="179" w:firstLine="1286"/>
        <w:spacing w:after="0" w:line="239" w:lineRule="auto"/>
        <w:tabs>
          <w:tab w:leader="none" w:pos="2004"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Requirement to Mitigate; Survival</w:t>
      </w:r>
      <w:r>
        <w:rPr>
          <w:rFonts w:ascii="Times New Roman" w:cs="Times New Roman" w:eastAsia="Times New Roman" w:hAnsi="Times New Roman"/>
          <w:sz w:val="22"/>
          <w:szCs w:val="22"/>
          <w:color w:val="auto"/>
        </w:rPr>
        <w:t>. Executive shall not be required to mitigate the amount of any payment provided for under this Agreement by seeking other employment or in any other manner. Notwithstanding anything to the contrary in this Agreement, the termination of Executive’s employment shall not impair the rights or obligations of any party.</w:t>
      </w:r>
    </w:p>
    <w:p>
      <w:pPr>
        <w:spacing w:after="0" w:line="139" w:lineRule="exact"/>
        <w:rPr>
          <w:rFonts w:ascii="Times New Roman" w:cs="Times New Roman" w:eastAsia="Times New Roman" w:hAnsi="Times New Roman"/>
          <w:sz w:val="22"/>
          <w:szCs w:val="22"/>
          <w:color w:val="auto"/>
        </w:rPr>
      </w:pPr>
    </w:p>
    <w:p>
      <w:pPr>
        <w:ind w:left="60" w:right="119" w:firstLine="1286"/>
        <w:spacing w:after="0" w:line="246" w:lineRule="auto"/>
        <w:tabs>
          <w:tab w:leader="none" w:pos="2004"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Certain Reductions</w:t>
      </w:r>
      <w:r>
        <w:rPr>
          <w:rFonts w:ascii="Times New Roman" w:cs="Times New Roman" w:eastAsia="Times New Roman" w:hAnsi="Times New Roman"/>
          <w:sz w:val="21"/>
          <w:szCs w:val="21"/>
          <w:color w:val="auto"/>
        </w:rPr>
        <w:t>. The Company shall reduce Executive’s severance benefits under this Agreement, in whole or in part, by any other severance benefits, pay in lieu of notice, or other similar benefits payable to Executive by the Company in connection with Executive’s termination, including but not limited to payments or benefits pursuant to (i) any applicable legal requirement, including, without limitation, the Worker Adjustment and Retraining Notification Act, or</w:t>
      </w:r>
    </w:p>
    <w:p>
      <w:pPr>
        <w:spacing w:after="0" w:line="1" w:lineRule="exact"/>
        <w:rPr>
          <w:rFonts w:ascii="Times New Roman" w:cs="Times New Roman" w:eastAsia="Times New Roman" w:hAnsi="Times New Roman"/>
          <w:sz w:val="21"/>
          <w:szCs w:val="21"/>
          <w:color w:val="auto"/>
        </w:rPr>
      </w:pPr>
    </w:p>
    <w:p>
      <w:pPr>
        <w:ind w:left="60" w:right="59" w:hanging="10"/>
        <w:spacing w:after="0" w:line="233" w:lineRule="auto"/>
        <w:tabs>
          <w:tab w:leader="none" w:pos="378"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Company policy or practice providing for Executive to remain on the payroll without being in active service for a limited period of time after being given notice of the termination of Executive’s employment. The benefits provided under this Agreement are intended to satisfy, to the greatest extent possible, any and all statutory obligations that may arise out of Executive’s termination of employment. Such reductions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91" w:name="page92"/>
    <w:bookmarkEnd w:id="91"/>
    <w:p>
      <w:pPr>
        <w:ind w:left="60" w:right="519"/>
        <w:spacing w:after="0" w:line="258" w:lineRule="auto"/>
        <w:rPr>
          <w:sz w:val="20"/>
          <w:szCs w:val="20"/>
          <w:color w:val="auto"/>
        </w:rPr>
      </w:pPr>
      <w:r>
        <w:rPr>
          <w:rFonts w:ascii="Times New Roman" w:cs="Times New Roman" w:eastAsia="Times New Roman" w:hAnsi="Times New Roman"/>
          <w:sz w:val="22"/>
          <w:szCs w:val="22"/>
          <w:color w:val="auto"/>
        </w:rPr>
        <w:t>be applied on a retroactive basis, with severance benefits previously paid being recharacterized as payments pursuant to the Company's statutory obligation.</w:t>
      </w:r>
    </w:p>
    <w:p>
      <w:pPr>
        <w:spacing w:after="0" w:line="114" w:lineRule="exact"/>
        <w:rPr>
          <w:sz w:val="20"/>
          <w:szCs w:val="20"/>
          <w:color w:val="auto"/>
        </w:rPr>
      </w:pPr>
    </w:p>
    <w:p>
      <w:pPr>
        <w:ind w:left="1340" w:hanging="642"/>
        <w:spacing w:after="0"/>
        <w:tabs>
          <w:tab w:leader="none" w:pos="1340"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Limitation on Payments</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b w:val="1"/>
          <w:bCs w:val="1"/>
          <w:color w:val="auto"/>
        </w:rPr>
      </w:pPr>
    </w:p>
    <w:p>
      <w:pPr>
        <w:ind w:left="60" w:right="59" w:firstLine="1286"/>
        <w:spacing w:after="0" w:line="244" w:lineRule="auto"/>
        <w:tabs>
          <w:tab w:leader="none" w:pos="2004"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in this Agreement to the contrary, if any payment or distribution Executive would receive pursuant to this Agreement or otherwise (“</w:t>
      </w:r>
      <w:r>
        <w:rPr>
          <w:rFonts w:ascii="Times New Roman" w:cs="Times New Roman" w:eastAsia="Times New Roman" w:hAnsi="Times New Roman"/>
          <w:sz w:val="21"/>
          <w:szCs w:val="21"/>
          <w:u w:val="single" w:color="auto"/>
          <w:color w:val="auto"/>
        </w:rPr>
        <w:t>Payment</w:t>
      </w:r>
      <w:r>
        <w:rPr>
          <w:rFonts w:ascii="Times New Roman" w:cs="Times New Roman" w:eastAsia="Times New Roman" w:hAnsi="Times New Roman"/>
          <w:sz w:val="21"/>
          <w:szCs w:val="21"/>
          <w:color w:val="auto"/>
        </w:rPr>
        <w:t>”) would (a) constitute a “parachute payment” within the meaning of Section 280G of the Internal Revenue Code of 1986, as amended (the “</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and (b) but for this sentence, be subject to the excise tax imposed by Section 4999 of the Code (the “</w:t>
      </w:r>
      <w:r>
        <w:rPr>
          <w:rFonts w:ascii="Times New Roman" w:cs="Times New Roman" w:eastAsia="Times New Roman" w:hAnsi="Times New Roman"/>
          <w:sz w:val="21"/>
          <w:szCs w:val="21"/>
          <w:u w:val="single" w:color="auto"/>
          <w:color w:val="auto"/>
        </w:rPr>
        <w:t>Excise Tax</w:t>
      </w:r>
      <w:r>
        <w:rPr>
          <w:rFonts w:ascii="Times New Roman" w:cs="Times New Roman" w:eastAsia="Times New Roman" w:hAnsi="Times New Roman"/>
          <w:sz w:val="21"/>
          <w:szCs w:val="21"/>
          <w:color w:val="auto"/>
        </w:rPr>
        <w:t>”), then the Company shall cause to be determined, before any amounts of the Payment are paid to Executive, which of the following alternative forms of payment would maximize Executive’s after-tax proceeds: (i) payment in full of the entire amount of the Payment (a “</w:t>
      </w:r>
      <w:r>
        <w:rPr>
          <w:rFonts w:ascii="Times New Roman" w:cs="Times New Roman" w:eastAsia="Times New Roman" w:hAnsi="Times New Roman"/>
          <w:sz w:val="21"/>
          <w:szCs w:val="21"/>
          <w:u w:val="single" w:color="auto"/>
          <w:color w:val="auto"/>
        </w:rPr>
        <w:t>Full Payment</w:t>
      </w:r>
      <w:r>
        <w:rPr>
          <w:rFonts w:ascii="Times New Roman" w:cs="Times New Roman" w:eastAsia="Times New Roman" w:hAnsi="Times New Roman"/>
          <w:sz w:val="21"/>
          <w:szCs w:val="21"/>
          <w:color w:val="auto"/>
        </w:rPr>
        <w:t>”), or (ii) payment of only a part of the Payment so that Executive receives that largest Payment possible without being subject to the Excise Tax (a “</w:t>
      </w:r>
      <w:r>
        <w:rPr>
          <w:rFonts w:ascii="Times New Roman" w:cs="Times New Roman" w:eastAsia="Times New Roman" w:hAnsi="Times New Roman"/>
          <w:sz w:val="21"/>
          <w:szCs w:val="21"/>
          <w:u w:val="single" w:color="auto"/>
          <w:color w:val="auto"/>
        </w:rPr>
        <w:t>Reduced Payment</w:t>
      </w:r>
      <w:r>
        <w:rPr>
          <w:rFonts w:ascii="Times New Roman" w:cs="Times New Roman" w:eastAsia="Times New Roman" w:hAnsi="Times New Roman"/>
          <w:sz w:val="21"/>
          <w:szCs w:val="21"/>
          <w:color w:val="auto"/>
        </w:rPr>
        <w:t>”), whichever of the foregoing amounts, taking into account the applicable federal, state and local income taxes and the Excise Tax (all computed at the highest marginal rate, net of the maximum reduction in federal income taxes which could be obtained from a deduction of such state and local taxes), results in Executive’s receipt, on an after-tax basis, of the greater amount of the Payment, notwithstanding that all or some portion the Payment may be subject to the Excise Tax.</w:t>
      </w:r>
    </w:p>
    <w:p>
      <w:pPr>
        <w:spacing w:after="0" w:line="140" w:lineRule="exact"/>
        <w:rPr>
          <w:rFonts w:ascii="Times New Roman" w:cs="Times New Roman" w:eastAsia="Times New Roman" w:hAnsi="Times New Roman"/>
          <w:sz w:val="21"/>
          <w:szCs w:val="21"/>
          <w:color w:val="auto"/>
        </w:rPr>
      </w:pPr>
    </w:p>
    <w:p>
      <w:pPr>
        <w:ind w:left="60" w:right="179" w:firstLine="1286"/>
        <w:spacing w:after="0" w:line="235" w:lineRule="auto"/>
        <w:tabs>
          <w:tab w:leader="none" w:pos="2004"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Reduced Payment is made pursuant to this Section 5, (i) the Payment shall be paid only to the extent permitted under the Reduced Payment alternative, and Executive shall have no rights to any additional payments and/or benefits constituting the Payment, and (ii) reduction in payments and/or benefits will occur in the following order: (1) reduction of cash payments; (2) cancellation of accelerated vesting of equity awards other than stock options; (3) cancellation of accelerated vesting of stock options; and (4) reduction of other benefits payable to Executive. In the event that acceleration of compensation from Executive’s equity awards is to be reduced, such acceleration of vesting shall be canceled in the reverse order of the date of grant.</w:t>
      </w:r>
    </w:p>
    <w:p>
      <w:pPr>
        <w:spacing w:after="0" w:line="137" w:lineRule="exact"/>
        <w:rPr>
          <w:rFonts w:ascii="Times New Roman" w:cs="Times New Roman" w:eastAsia="Times New Roman" w:hAnsi="Times New Roman"/>
          <w:sz w:val="22"/>
          <w:szCs w:val="22"/>
          <w:color w:val="auto"/>
        </w:rPr>
      </w:pPr>
    </w:p>
    <w:p>
      <w:pPr>
        <w:ind w:left="60" w:right="99" w:firstLine="1286"/>
        <w:spacing w:after="0" w:line="235" w:lineRule="auto"/>
        <w:tabs>
          <w:tab w:leader="none" w:pos="2004"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independent registered public accounting firm engaged by the Company for general audit purposes as of the day prior to the effective date of the Change in Control shall make all determinations required to be made under this Section 5. If the independent registered public accounting firm so engaged by the Company is serving as accountant or auditor for the individual, group or entity effecting the Change in Control, the Company shall appoint a nationally recognized independent registered public accounting firm to make the determinations required hereunder. The Company shall bear all expenses with respect to the determinations by such independent registered public accounting firm required to be made hereunder.</w:t>
      </w:r>
    </w:p>
    <w:p>
      <w:pPr>
        <w:spacing w:after="0" w:line="151" w:lineRule="exact"/>
        <w:rPr>
          <w:rFonts w:ascii="Times New Roman" w:cs="Times New Roman" w:eastAsia="Times New Roman" w:hAnsi="Times New Roman"/>
          <w:sz w:val="22"/>
          <w:szCs w:val="22"/>
          <w:color w:val="auto"/>
        </w:rPr>
      </w:pPr>
    </w:p>
    <w:p>
      <w:pPr>
        <w:ind w:left="60" w:right="179" w:firstLine="1286"/>
        <w:spacing w:after="0" w:line="236" w:lineRule="auto"/>
        <w:tabs>
          <w:tab w:leader="none" w:pos="2004"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independent registered public accounting firm engaged to make the determinations hereunder shall provide its calculations, together with detailed supporting documentation, to the Company and Executive within 15 calendar days after the date on which Executive’s right to a Payment is triggered (if requested at that time by the Company or Executive) or such other time as requested by the Company or Executive. If the independent registered public accounting firm determines that no Excise Tax is payable with respect to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92" w:name="page93"/>
    <w:bookmarkEnd w:id="92"/>
    <w:p>
      <w:pPr>
        <w:ind w:left="60" w:right="139"/>
        <w:spacing w:after="0" w:line="239" w:lineRule="auto"/>
        <w:rPr>
          <w:sz w:val="20"/>
          <w:szCs w:val="20"/>
          <w:color w:val="auto"/>
        </w:rPr>
      </w:pPr>
      <w:r>
        <w:rPr>
          <w:rFonts w:ascii="Times New Roman" w:cs="Times New Roman" w:eastAsia="Times New Roman" w:hAnsi="Times New Roman"/>
          <w:sz w:val="22"/>
          <w:szCs w:val="22"/>
          <w:color w:val="auto"/>
        </w:rPr>
        <w:t>Payment, either before or after the application of the Reduced Amount, it shall furnish the Company and Executive with an opinion reasonably acceptable to Executive that no Excise Tax will be imposed with respect to such Payment. Any good faith determinations of the accounting firm made hereunder shall be final, binding and conclusive upon the Company and Executive.</w:t>
      </w:r>
    </w:p>
    <w:p>
      <w:pPr>
        <w:spacing w:after="0" w:line="136" w:lineRule="exact"/>
        <w:rPr>
          <w:sz w:val="20"/>
          <w:szCs w:val="20"/>
          <w:color w:val="auto"/>
        </w:rPr>
      </w:pPr>
    </w:p>
    <w:p>
      <w:pPr>
        <w:ind w:left="1340" w:hanging="642"/>
        <w:spacing w:after="0"/>
        <w:tabs>
          <w:tab w:leader="none" w:pos="1340" w:val="left"/>
        </w:tabs>
        <w:numPr>
          <w:ilvl w:val="1"/>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Successors</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b w:val="1"/>
          <w:bCs w:val="1"/>
          <w:color w:val="auto"/>
        </w:rPr>
      </w:pPr>
    </w:p>
    <w:p>
      <w:pPr>
        <w:ind w:left="60" w:right="259" w:firstLine="1286"/>
        <w:spacing w:after="0" w:line="234" w:lineRule="auto"/>
        <w:tabs>
          <w:tab w:leader="none" w:pos="2004" w:val="left"/>
        </w:tabs>
        <w:numPr>
          <w:ilvl w:val="2"/>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Company’s Successors</w:t>
      </w:r>
      <w:r>
        <w:rPr>
          <w:rFonts w:ascii="Times New Roman" w:cs="Times New Roman" w:eastAsia="Times New Roman" w:hAnsi="Times New Roman"/>
          <w:sz w:val="22"/>
          <w:szCs w:val="22"/>
          <w:color w:val="auto"/>
        </w:rPr>
        <w:t>. Any successor to the Company (whether direct or indirect and whether by purchase, merger, consolidation, liquidation or otherwise) to all or substantially all of the Company’s business and/or assets shall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shall include any successor to the Company’s business and/or assets which executes and delivers the assumption agreement described in this Section 6(a) or which becomes bound by the terms of this Agreement by operation of law.</w:t>
      </w:r>
    </w:p>
    <w:p>
      <w:pPr>
        <w:spacing w:after="0" w:line="142" w:lineRule="exact"/>
        <w:rPr>
          <w:rFonts w:ascii="Times New Roman" w:cs="Times New Roman" w:eastAsia="Times New Roman" w:hAnsi="Times New Roman"/>
          <w:sz w:val="22"/>
          <w:szCs w:val="22"/>
          <w:color w:val="auto"/>
        </w:rPr>
      </w:pPr>
    </w:p>
    <w:p>
      <w:pPr>
        <w:ind w:left="60" w:right="199" w:firstLine="1286"/>
        <w:spacing w:after="0" w:line="261" w:lineRule="auto"/>
        <w:tabs>
          <w:tab w:leader="none" w:pos="2004" w:val="left"/>
        </w:tabs>
        <w:numPr>
          <w:ilvl w:val="2"/>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Executive’s Successors</w:t>
      </w:r>
      <w:r>
        <w:rPr>
          <w:rFonts w:ascii="Times New Roman" w:cs="Times New Roman" w:eastAsia="Times New Roman" w:hAnsi="Times New Roman"/>
          <w:sz w:val="21"/>
          <w:szCs w:val="21"/>
          <w:color w:val="auto"/>
        </w:rPr>
        <w:t>. The terms of this Agreement and all rights of Executive hereunder shall inure to the benefit of, and be enforceable by, Executive’s personal or legal representatives, executors, administrators, successors, heirs, distributees, devisees and legatees.</w:t>
      </w:r>
    </w:p>
    <w:p>
      <w:pPr>
        <w:spacing w:after="0" w:line="112" w:lineRule="exact"/>
        <w:rPr>
          <w:rFonts w:ascii="Times New Roman" w:cs="Times New Roman" w:eastAsia="Times New Roman" w:hAnsi="Times New Roman"/>
          <w:sz w:val="21"/>
          <w:szCs w:val="21"/>
          <w:color w:val="auto"/>
        </w:rPr>
      </w:pPr>
    </w:p>
    <w:p>
      <w:pPr>
        <w:ind w:left="60" w:right="159" w:firstLine="638"/>
        <w:spacing w:after="0" w:line="250" w:lineRule="auto"/>
        <w:tabs>
          <w:tab w:leader="none" w:pos="1356" w:val="left"/>
        </w:tabs>
        <w:numPr>
          <w:ilvl w:val="1"/>
          <w:numId w:val="5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Notices</w:t>
      </w:r>
      <w:r>
        <w:rPr>
          <w:rFonts w:ascii="Times New Roman" w:cs="Times New Roman" w:eastAsia="Times New Roman" w:hAnsi="Times New Roman"/>
          <w:sz w:val="21"/>
          <w:szCs w:val="21"/>
          <w:color w:val="auto"/>
        </w:rPr>
        <w:t>. Notices and all other communications contemplated by this Agreement shall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 in writing and shall be deemed to have been duly given when personally delivered or one day following mailing via Federal Express or similar overnight courier service. In the case of Executive, mailed notices shall be addressed to Executive at Executive’s home address that the Company has on file for Executive. In the case of the Company, mailed notices shall be addressed to its corporate headquarters, and all notices shall be directed to the attention of the General Counsel of the Company.</w:t>
      </w:r>
    </w:p>
    <w:p>
      <w:pPr>
        <w:spacing w:after="0" w:line="137" w:lineRule="exact"/>
        <w:rPr>
          <w:rFonts w:ascii="Times New Roman" w:cs="Times New Roman" w:eastAsia="Times New Roman" w:hAnsi="Times New Roman"/>
          <w:sz w:val="21"/>
          <w:szCs w:val="21"/>
          <w:b w:val="1"/>
          <w:bCs w:val="1"/>
          <w:color w:val="auto"/>
        </w:rPr>
      </w:pPr>
    </w:p>
    <w:p>
      <w:pPr>
        <w:ind w:left="60" w:right="159" w:firstLine="638"/>
        <w:spacing w:after="0" w:line="244" w:lineRule="auto"/>
        <w:tabs>
          <w:tab w:leader="none" w:pos="1356" w:val="left"/>
        </w:tabs>
        <w:numPr>
          <w:ilvl w:val="1"/>
          <w:numId w:val="5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Dispute Resolution</w:t>
      </w:r>
      <w:r>
        <w:rPr>
          <w:rFonts w:ascii="Times New Roman" w:cs="Times New Roman" w:eastAsia="Times New Roman" w:hAnsi="Times New Roman"/>
          <w:sz w:val="21"/>
          <w:szCs w:val="21"/>
          <w:color w:val="auto"/>
        </w:rPr>
        <w:t>. To ensure the timely and economical resolution of disputes that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arise in connection with this Agreement, Executive and the Company agree that any and all disputes, claims, or causes of action arising from or relating to the enforcement, breach, performance or interpretation of this Agreement, Executive’s employment, or the termination of Executive’s employment, shall be resolved to the fullest extent permitted by law by final, binding and confidential arbitration, by a single arbitrator, in San Mateo County, California, conducted by Judicial Arbitration and Mediation Services, Inc. (“</w:t>
      </w:r>
      <w:r>
        <w:rPr>
          <w:rFonts w:ascii="Times New Roman" w:cs="Times New Roman" w:eastAsia="Times New Roman" w:hAnsi="Times New Roman"/>
          <w:sz w:val="21"/>
          <w:szCs w:val="21"/>
          <w:u w:val="single" w:color="auto"/>
          <w:color w:val="auto"/>
        </w:rPr>
        <w:t>JAMS</w:t>
      </w:r>
      <w:r>
        <w:rPr>
          <w:rFonts w:ascii="Times New Roman" w:cs="Times New Roman" w:eastAsia="Times New Roman" w:hAnsi="Times New Roman"/>
          <w:sz w:val="21"/>
          <w:szCs w:val="21"/>
          <w:color w:val="auto"/>
        </w:rPr>
        <w:t xml:space="preserve">”) under the applicable JAMS employment rules. </w:t>
      </w:r>
      <w:r>
        <w:rPr>
          <w:rFonts w:ascii="Times New Roman" w:cs="Times New Roman" w:eastAsia="Times New Roman" w:hAnsi="Times New Roman"/>
          <w:sz w:val="21"/>
          <w:szCs w:val="21"/>
          <w:b w:val="1"/>
          <w:bCs w:val="1"/>
          <w:color w:val="auto"/>
        </w:rPr>
        <w:t>By agreeing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to this arbitration procedure, both Executive and the Company waive the right to resolve any such dispute through a trial by jury or judge or administrative proceeding</w:t>
      </w:r>
      <w:r>
        <w:rPr>
          <w:rFonts w:ascii="Times New Roman" w:cs="Times New Roman" w:eastAsia="Times New Roman" w:hAnsi="Times New Roman"/>
          <w:sz w:val="21"/>
          <w:szCs w:val="21"/>
          <w:color w:val="auto"/>
        </w:rPr>
        <w:t>. The arbitrator shall:</w:t>
      </w:r>
    </w:p>
    <w:p>
      <w:pPr>
        <w:spacing w:after="0" w:line="5" w:lineRule="exact"/>
        <w:rPr>
          <w:rFonts w:ascii="Times New Roman" w:cs="Times New Roman" w:eastAsia="Times New Roman" w:hAnsi="Times New Roman"/>
          <w:sz w:val="21"/>
          <w:szCs w:val="21"/>
          <w:b w:val="1"/>
          <w:bCs w:val="1"/>
          <w:color w:val="auto"/>
        </w:rPr>
      </w:pPr>
    </w:p>
    <w:p>
      <w:pPr>
        <w:ind w:left="60" w:right="79" w:hanging="10"/>
        <w:spacing w:after="0" w:line="244" w:lineRule="auto"/>
        <w:tabs>
          <w:tab w:leader="none" w:pos="318"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have the authority to compel adequate discovery for the resolution of the dispute and to award such relief as would otherwise be permitted by law; and (ii) issue a written arbitration decision, to include the arbitrator’s essential findings and conclusions and a statement of the award. The arbitrator shall be authorized to award any or all remedies that Executive or the Company would be entitled to seek in a court of law. The Company shall pay all JAMS’ arbitration fees in excess of the amount of court fees that would be required if the dispute were decided in a court of law. Nothing in this Agreement is intended to prevent either Executive or the Company from obtaining injunctive relief in court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93" w:name="page94"/>
    <w:bookmarkEnd w:id="93"/>
    <w:p>
      <w:pPr>
        <w:ind w:left="60" w:right="639"/>
        <w:spacing w:after="0" w:line="244" w:lineRule="auto"/>
        <w:rPr>
          <w:sz w:val="20"/>
          <w:szCs w:val="20"/>
          <w:color w:val="auto"/>
        </w:rPr>
      </w:pPr>
      <w:r>
        <w:rPr>
          <w:rFonts w:ascii="Times New Roman" w:cs="Times New Roman" w:eastAsia="Times New Roman" w:hAnsi="Times New Roman"/>
          <w:sz w:val="22"/>
          <w:szCs w:val="22"/>
          <w:color w:val="auto"/>
        </w:rPr>
        <w:t>to prevent irreparable harm pending the conclusion of any such arbitration. Notwithstanding the foregoing, Executive and the Company each have the right to resolve any issue or dispute over intellectual property rights by Court action instead of arbitration.</w:t>
      </w:r>
    </w:p>
    <w:p>
      <w:pPr>
        <w:spacing w:after="0" w:line="129" w:lineRule="exact"/>
        <w:rPr>
          <w:sz w:val="20"/>
          <w:szCs w:val="20"/>
          <w:color w:val="auto"/>
        </w:rPr>
      </w:pPr>
    </w:p>
    <w:p>
      <w:pPr>
        <w:ind w:left="1340" w:hanging="642"/>
        <w:spacing w:after="0"/>
        <w:tabs>
          <w:tab w:leader="none" w:pos="134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Miscellaneous Provisions</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b w:val="1"/>
          <w:bCs w:val="1"/>
          <w:color w:val="auto"/>
        </w:rPr>
      </w:pPr>
    </w:p>
    <w:p>
      <w:pPr>
        <w:ind w:left="60" w:right="59" w:firstLine="1286"/>
        <w:spacing w:after="0" w:line="236" w:lineRule="auto"/>
        <w:tabs>
          <w:tab w:leader="none" w:pos="2004"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Withholdings and Offsets</w:t>
      </w:r>
      <w:r>
        <w:rPr>
          <w:rFonts w:ascii="Times New Roman" w:cs="Times New Roman" w:eastAsia="Times New Roman" w:hAnsi="Times New Roman"/>
          <w:sz w:val="22"/>
          <w:szCs w:val="22"/>
          <w:color w:val="auto"/>
        </w:rPr>
        <w:t>. The Company shall be entitled to withhold from any amounts payable under this Agreement any federal, state, local or foreign withholding or other taxes or charges which the Company is required to withhold. The Company shall be entitled to rely on an opinion of counsel if any questions as to the amount or requirement of withholding shall arise. If Executive is indebted to the Company at his or her termination date, the Company reserves the right to offset any severance payments under this Agreement by the amount of such indebtedness.</w:t>
      </w:r>
    </w:p>
    <w:p>
      <w:pPr>
        <w:spacing w:after="0" w:line="140" w:lineRule="exact"/>
        <w:rPr>
          <w:rFonts w:ascii="Times New Roman" w:cs="Times New Roman" w:eastAsia="Times New Roman" w:hAnsi="Times New Roman"/>
          <w:sz w:val="22"/>
          <w:szCs w:val="22"/>
          <w:color w:val="auto"/>
        </w:rPr>
      </w:pPr>
    </w:p>
    <w:p>
      <w:pPr>
        <w:ind w:left="60" w:right="99" w:firstLine="1286"/>
        <w:spacing w:after="0" w:line="236" w:lineRule="auto"/>
        <w:tabs>
          <w:tab w:leader="none" w:pos="2004"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No provision of this Agreement shall be modified, waived or dis­ 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40" w:lineRule="exact"/>
        <w:rPr>
          <w:rFonts w:ascii="Times New Roman" w:cs="Times New Roman" w:eastAsia="Times New Roman" w:hAnsi="Times New Roman"/>
          <w:sz w:val="22"/>
          <w:szCs w:val="22"/>
          <w:color w:val="auto"/>
        </w:rPr>
      </w:pPr>
    </w:p>
    <w:p>
      <w:pPr>
        <w:ind w:left="60" w:right="339" w:firstLine="1286"/>
        <w:spacing w:after="0" w:line="255" w:lineRule="auto"/>
        <w:tabs>
          <w:tab w:leader="none" w:pos="2004"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Whole Agreement</w:t>
      </w:r>
      <w:r>
        <w:rPr>
          <w:rFonts w:ascii="Times New Roman" w:cs="Times New Roman" w:eastAsia="Times New Roman" w:hAnsi="Times New Roman"/>
          <w:sz w:val="21"/>
          <w:szCs w:val="21"/>
          <w:color w:val="auto"/>
        </w:rPr>
        <w:t>. This Agreement and the Confidential Information Agreement represent the entire understanding of the parties hereto with respect to the subject matter hereof and supersede all prior arrangements and understandings regarding same, including, without limitation, the Prior Agreement and any vesting provisions of Executive’s equity award agreements.</w:t>
      </w:r>
    </w:p>
    <w:p>
      <w:pPr>
        <w:spacing w:after="0" w:line="134" w:lineRule="exact"/>
        <w:rPr>
          <w:rFonts w:ascii="Times New Roman" w:cs="Times New Roman" w:eastAsia="Times New Roman" w:hAnsi="Times New Roman"/>
          <w:sz w:val="21"/>
          <w:szCs w:val="21"/>
          <w:color w:val="auto"/>
        </w:rPr>
      </w:pPr>
    </w:p>
    <w:p>
      <w:pPr>
        <w:ind w:left="60" w:right="579" w:firstLine="1286"/>
        <w:spacing w:after="0" w:line="258" w:lineRule="auto"/>
        <w:tabs>
          <w:tab w:leader="none" w:pos="2004"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This Agreement cannot be amended or modified except by a written agreement signed by Executive and a duly authorized officer of the Company.</w:t>
      </w:r>
    </w:p>
    <w:p>
      <w:pPr>
        <w:spacing w:after="0" w:line="117" w:lineRule="exact"/>
        <w:rPr>
          <w:rFonts w:ascii="Times New Roman" w:cs="Times New Roman" w:eastAsia="Times New Roman" w:hAnsi="Times New Roman"/>
          <w:sz w:val="22"/>
          <w:szCs w:val="22"/>
          <w:color w:val="auto"/>
        </w:rPr>
      </w:pPr>
    </w:p>
    <w:p>
      <w:pPr>
        <w:ind w:left="60" w:right="359" w:firstLine="1286"/>
        <w:spacing w:after="0" w:line="258" w:lineRule="auto"/>
        <w:tabs>
          <w:tab w:leader="none" w:pos="2004"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Choice of Law</w:t>
      </w:r>
      <w:r>
        <w:rPr>
          <w:rFonts w:ascii="Times New Roman" w:cs="Times New Roman" w:eastAsia="Times New Roman" w:hAnsi="Times New Roman"/>
          <w:sz w:val="22"/>
          <w:szCs w:val="22"/>
          <w:color w:val="auto"/>
        </w:rPr>
        <w:t>. The validity, interpretation, construction and performance of this Agreement shall be governed by the laws of the State of California.</w:t>
      </w:r>
    </w:p>
    <w:p>
      <w:pPr>
        <w:spacing w:after="0" w:line="117" w:lineRule="exact"/>
        <w:rPr>
          <w:rFonts w:ascii="Times New Roman" w:cs="Times New Roman" w:eastAsia="Times New Roman" w:hAnsi="Times New Roman"/>
          <w:sz w:val="22"/>
          <w:szCs w:val="22"/>
          <w:color w:val="auto"/>
        </w:rPr>
      </w:pPr>
    </w:p>
    <w:p>
      <w:pPr>
        <w:ind w:left="60" w:right="219" w:firstLine="1286"/>
        <w:spacing w:after="0" w:line="236" w:lineRule="auto"/>
        <w:tabs>
          <w:tab w:leader="none" w:pos="2004"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finding by a court of competent jurisdiction of the unenforceability, invalidity or illegality of any provision of this Agreement shall not render any other provision of this Agreement unenforceable, invalid or illegal. Such court shall have the authority to modify or replace the invalid or unenforceable term or provision with a valid and enforceable term or provision which most accurately represents the intention of the parties hereto with respect to the invalid or unenforceable term or provision.</w:t>
      </w:r>
    </w:p>
    <w:p>
      <w:pPr>
        <w:spacing w:after="0" w:line="154" w:lineRule="exact"/>
        <w:rPr>
          <w:rFonts w:ascii="Times New Roman" w:cs="Times New Roman" w:eastAsia="Times New Roman" w:hAnsi="Times New Roman"/>
          <w:sz w:val="22"/>
          <w:szCs w:val="22"/>
          <w:color w:val="auto"/>
        </w:rPr>
      </w:pPr>
    </w:p>
    <w:p>
      <w:pPr>
        <w:ind w:left="60" w:right="79" w:firstLine="1286"/>
        <w:spacing w:after="0" w:line="235" w:lineRule="auto"/>
        <w:tabs>
          <w:tab w:leader="none" w:pos="2004"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Interpretation; Construction</w:t>
      </w:r>
      <w:r>
        <w:rPr>
          <w:rFonts w:ascii="Times New Roman" w:cs="Times New Roman" w:eastAsia="Times New Roman" w:hAnsi="Times New Roman"/>
          <w:sz w:val="22"/>
          <w:szCs w:val="22"/>
          <w:color w:val="auto"/>
        </w:rPr>
        <w:t>. The headings set forth in this Agreement are for convenience of reference only and shall not be used in interpreting this Agreement. This Agreement has been drafted by legal counsel representing the Company, but Executive has been encouraged to consult with, and has consulted with, Executive’s own independent counsel and tax advisors with respect to the terms of this Agreement. The parties hereto acknowledge that each party hereto and its counsel has reviewed and revised, or had an opportunity to review and revise, this Agreement, and any rule of construction to the effect that any ambiguities are to be resolved against the drafting party shall not be employed in the interpretation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94" w:name="page95"/>
    <w:bookmarkEnd w:id="94"/>
    <w:p>
      <w:pPr>
        <w:ind w:left="60" w:right="119" w:firstLine="1286"/>
        <w:spacing w:after="0" w:line="249" w:lineRule="auto"/>
        <w:tabs>
          <w:tab w:leader="none" w:pos="2004" w:val="left"/>
        </w:tabs>
        <w:numPr>
          <w:ilvl w:val="1"/>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Representations; Warranties</w:t>
      </w:r>
      <w:r>
        <w:rPr>
          <w:rFonts w:ascii="Times New Roman" w:cs="Times New Roman" w:eastAsia="Times New Roman" w:hAnsi="Times New Roman"/>
          <w:sz w:val="21"/>
          <w:szCs w:val="21"/>
          <w:color w:val="auto"/>
        </w:rPr>
        <w:t>. Executive represents and warrants that Executive is not restricted or prohibited, contractually or otherwise, from entering into and performing each of the terms and covenants contained in this Agreement, and that Executive’s execution and performance of this Agreement will not violate or breach any other agreements between Executive and any other person or entity and that Executive has not engaged in any act or omission that could be reasonably expected to result in or lead to an event constituting “Cause” for purposes of this Agreement.</w:t>
      </w:r>
    </w:p>
    <w:p>
      <w:pPr>
        <w:spacing w:after="0" w:line="130" w:lineRule="exact"/>
        <w:rPr>
          <w:rFonts w:ascii="Times New Roman" w:cs="Times New Roman" w:eastAsia="Times New Roman" w:hAnsi="Times New Roman"/>
          <w:sz w:val="21"/>
          <w:szCs w:val="21"/>
          <w:color w:val="auto"/>
        </w:rPr>
      </w:pPr>
    </w:p>
    <w:p>
      <w:pPr>
        <w:ind w:left="60" w:right="179" w:firstLine="1286"/>
        <w:spacing w:after="0" w:line="282" w:lineRule="auto"/>
        <w:tabs>
          <w:tab w:leader="none" w:pos="2004" w:val="left"/>
        </w:tabs>
        <w:numPr>
          <w:ilvl w:val="1"/>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in counterparts, each of which shall be deemed an original, but all of which together will constitute one and the same instrument.</w:t>
      </w:r>
    </w:p>
    <w:p>
      <w:pPr>
        <w:spacing w:after="0" w:line="103" w:lineRule="exact"/>
        <w:rPr>
          <w:rFonts w:ascii="Times New Roman" w:cs="Times New Roman" w:eastAsia="Times New Roman" w:hAnsi="Times New Roman"/>
          <w:sz w:val="21"/>
          <w:szCs w:val="21"/>
          <w:color w:val="auto"/>
        </w:rPr>
      </w:pPr>
    </w:p>
    <w:p>
      <w:pPr>
        <w:ind w:left="60" w:right="79" w:firstLine="638"/>
        <w:spacing w:after="0" w:line="233" w:lineRule="auto"/>
        <w:tabs>
          <w:tab w:leader="none" w:pos="1356"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Section 409A</w:t>
      </w:r>
      <w:r>
        <w:rPr>
          <w:rFonts w:ascii="Times New Roman" w:cs="Times New Roman" w:eastAsia="Times New Roman" w:hAnsi="Times New Roman"/>
          <w:sz w:val="22"/>
          <w:szCs w:val="22"/>
          <w:color w:val="auto"/>
        </w:rPr>
        <w:t>. The intent of the parties is that the payments and benefits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comply with or be exempt from Section 409A of the Code and the Department of Treasury regulations and other interpretive guidance issued thereunder, including without limitation any such regulations or other guidance that may be issued after the Effective Date,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xml:space="preserve">”) and, accordingly, to the maximum extent permitted, this Agreement shall be interpreted to be in compliance therewith. If the Company determines that any provision of this Agreement would cause Executive to incur any additional tax or interest under Section 409A (with specificity as to the reason therefor), the Company and Executive shall take commercially reasonable efforts to reform such provision to try to comply with or be exempt from Section 409A through good faith modifications to the minimum extent reasonably appropriate to conform with Section 409A,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such modifications shall not increase the cost or liability to the Company. To the extent that any provision hereof is modified in order to comply with or be exempt from Section 409A, such modification shall be made in good faith and shall, to the maximum extent reasonably possible, maintain the original intent and economic benefit to Executive and the Company of the applicable provision without violating the provisions of Section 409A.</w:t>
      </w:r>
    </w:p>
    <w:p>
      <w:pPr>
        <w:spacing w:after="0" w:line="140" w:lineRule="exact"/>
        <w:rPr>
          <w:rFonts w:ascii="Times New Roman" w:cs="Times New Roman" w:eastAsia="Times New Roman" w:hAnsi="Times New Roman"/>
          <w:sz w:val="22"/>
          <w:szCs w:val="22"/>
          <w:b w:val="1"/>
          <w:bCs w:val="1"/>
          <w:color w:val="auto"/>
        </w:rPr>
      </w:pPr>
    </w:p>
    <w:p>
      <w:pPr>
        <w:ind w:left="60" w:right="179" w:firstLine="1286"/>
        <w:spacing w:after="0" w:line="246" w:lineRule="auto"/>
        <w:tabs>
          <w:tab w:leader="none" w:pos="2004"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Separation from Service</w:t>
      </w:r>
      <w:r>
        <w:rPr>
          <w:rFonts w:ascii="Times New Roman" w:cs="Times New Roman" w:eastAsia="Times New Roman" w:hAnsi="Times New Roman"/>
          <w:sz w:val="21"/>
          <w:szCs w:val="21"/>
          <w:color w:val="auto"/>
        </w:rPr>
        <w:t>. Notwithstanding any provision to the contrary in this Agreement, no amount deemed deferred compensation subject to Section 409A of the Code shall be payable pursuant to Section 4 unless Executive’s termination of employment constitutes a “separation from service” with the Company within the meaning of Section 409A (“</w:t>
      </w:r>
      <w:r>
        <w:rPr>
          <w:rFonts w:ascii="Times New Roman" w:cs="Times New Roman" w:eastAsia="Times New Roman" w:hAnsi="Times New Roman"/>
          <w:sz w:val="21"/>
          <w:szCs w:val="21"/>
          <w:u w:val="single" w:color="auto"/>
          <w:color w:val="auto"/>
        </w:rPr>
        <w:t>Separation from Service</w:t>
      </w:r>
      <w:r>
        <w:rPr>
          <w:rFonts w:ascii="Times New Roman" w:cs="Times New Roman" w:eastAsia="Times New Roman" w:hAnsi="Times New Roman"/>
          <w:sz w:val="21"/>
          <w:szCs w:val="21"/>
          <w:color w:val="auto"/>
        </w:rPr>
        <w:t>”) and, except as provided under Section 10(b) of this Agreement, any such amount shall not be paid, or in the case of installments, commence payment, until the sixtieth (60</w:t>
      </w:r>
      <w:r>
        <w:rPr>
          <w:rFonts w:ascii="Times New Roman" w:cs="Times New Roman" w:eastAsia="Times New Roman" w:hAnsi="Times New Roman"/>
          <w:sz w:val="15"/>
          <w:szCs w:val="15"/>
          <w:color w:val="auto"/>
        </w:rPr>
        <w:t>th</w:t>
      </w:r>
      <w:r>
        <w:rPr>
          <w:rFonts w:ascii="Times New Roman" w:cs="Times New Roman" w:eastAsia="Times New Roman" w:hAnsi="Times New Roman"/>
          <w:sz w:val="21"/>
          <w:szCs w:val="21"/>
          <w:color w:val="auto"/>
        </w:rPr>
        <w:t>) day following Executive’s Separation from Service. Any installment payments that would have been made to Executive during the sixty (60) day period immediately following Executive’s Separation from Service but for the preceding sentence shall be paid to Executive on the sixtieth (60</w:t>
      </w:r>
      <w:r>
        <w:rPr>
          <w:rFonts w:ascii="Times New Roman" w:cs="Times New Roman" w:eastAsia="Times New Roman" w:hAnsi="Times New Roman"/>
          <w:sz w:val="15"/>
          <w:szCs w:val="15"/>
          <w:color w:val="auto"/>
        </w:rPr>
        <w:t>th</w:t>
      </w:r>
      <w:r>
        <w:rPr>
          <w:rFonts w:ascii="Times New Roman" w:cs="Times New Roman" w:eastAsia="Times New Roman" w:hAnsi="Times New Roman"/>
          <w:sz w:val="21"/>
          <w:szCs w:val="21"/>
          <w:color w:val="auto"/>
        </w:rPr>
        <w:t>) day following Executive’s Separation from Service and the remaining payments shall be made as provided in this Agreement.</w:t>
      </w:r>
    </w:p>
    <w:p>
      <w:pPr>
        <w:spacing w:after="0" w:line="130" w:lineRule="exact"/>
        <w:rPr>
          <w:rFonts w:ascii="Times New Roman" w:cs="Times New Roman" w:eastAsia="Times New Roman" w:hAnsi="Times New Roman"/>
          <w:sz w:val="21"/>
          <w:szCs w:val="21"/>
          <w:color w:val="auto"/>
        </w:rPr>
      </w:pPr>
    </w:p>
    <w:p>
      <w:pPr>
        <w:ind w:left="60" w:right="59" w:firstLine="1286"/>
        <w:spacing w:after="0" w:line="236" w:lineRule="auto"/>
        <w:tabs>
          <w:tab w:leader="none" w:pos="2004"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Specified Employee</w:t>
      </w:r>
      <w:r>
        <w:rPr>
          <w:rFonts w:ascii="Times New Roman" w:cs="Times New Roman" w:eastAsia="Times New Roman" w:hAnsi="Times New Roman"/>
          <w:sz w:val="22"/>
          <w:szCs w:val="22"/>
          <w:color w:val="auto"/>
        </w:rPr>
        <w:t>. Notwithstanding any provision to the contrary in this Agreement, if Executive is deemed at the time of his or her separation from service to be a “specified employee” for purposes of Section 409A(a)(2)(B)(i) of the Code, to the extent delayed commencement of any portion of the benefits to which Executive is entitled under this Agreement is required in order to avoid a prohibited distribution under Section 409A(a)(2)(B)(i) of the Code, such portion of Executive’s benefits shall not be provided to Executive prior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95" w:name="page96"/>
    <w:bookmarkEnd w:id="95"/>
    <w:p>
      <w:pPr>
        <w:ind w:left="60" w:right="159"/>
        <w:spacing w:after="0" w:line="238" w:lineRule="auto"/>
        <w:rPr>
          <w:sz w:val="20"/>
          <w:szCs w:val="20"/>
          <w:color w:val="auto"/>
        </w:rPr>
      </w:pPr>
      <w:r>
        <w:rPr>
          <w:rFonts w:ascii="Times New Roman" w:cs="Times New Roman" w:eastAsia="Times New Roman" w:hAnsi="Times New Roman"/>
          <w:sz w:val="22"/>
          <w:szCs w:val="22"/>
          <w:color w:val="auto"/>
        </w:rPr>
        <w:t>earlier of (i) the expiration of the six (6)-month period measured from the date of Executive’s Separation from Service or (ii) the date of Executive’s death. Upon the first day of the seventh month following the date of the Executive’s separation from service, all payments deferred pursuant to this Section 10(b) shall be paid in a lump sum to Executive, and any remaining payments due under this Agreement shall be paid as otherwise provided herein.</w:t>
      </w:r>
    </w:p>
    <w:p>
      <w:pPr>
        <w:spacing w:after="0" w:line="136" w:lineRule="exact"/>
        <w:rPr>
          <w:sz w:val="20"/>
          <w:szCs w:val="20"/>
          <w:color w:val="auto"/>
        </w:rPr>
      </w:pPr>
    </w:p>
    <w:p>
      <w:pPr>
        <w:ind w:left="60" w:right="119" w:firstLine="1286"/>
        <w:spacing w:after="0" w:line="235" w:lineRule="auto"/>
        <w:tabs>
          <w:tab w:leader="none" w:pos="2004"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 Reimbursements</w:t>
      </w:r>
      <w:r>
        <w:rPr>
          <w:rFonts w:ascii="Times New Roman" w:cs="Times New Roman" w:eastAsia="Times New Roman" w:hAnsi="Times New Roman"/>
          <w:sz w:val="22"/>
          <w:szCs w:val="22"/>
          <w:color w:val="auto"/>
        </w:rPr>
        <w:t>. To the extent that any reimbursements payable pursuant to this Agreement are subject to the provisions of Section 409A, any such reimbursements payable to Executive pursuant to this Agreement shall be paid to Executive no later than December 31 of the year following the year in which the expense was incurred, the amount of expenses reimbursed in one year shall not affect the amount eligible for reimbursement in any subsequent year, and Executive’s right to reimbursement under this Agreement will not be subject to liquidation or exchange for another benefit.</w:t>
      </w:r>
    </w:p>
    <w:p>
      <w:pPr>
        <w:spacing w:after="0" w:line="156" w:lineRule="exact"/>
        <w:rPr>
          <w:rFonts w:ascii="Times New Roman" w:cs="Times New Roman" w:eastAsia="Times New Roman" w:hAnsi="Times New Roman"/>
          <w:sz w:val="22"/>
          <w:szCs w:val="22"/>
          <w:color w:val="auto"/>
        </w:rPr>
      </w:pPr>
    </w:p>
    <w:p>
      <w:pPr>
        <w:ind w:left="60" w:right="259" w:firstLine="1286"/>
        <w:spacing w:after="0" w:line="238" w:lineRule="auto"/>
        <w:tabs>
          <w:tab w:leader="none" w:pos="2004"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Installments</w:t>
      </w:r>
      <w:r>
        <w:rPr>
          <w:rFonts w:ascii="Times New Roman" w:cs="Times New Roman" w:eastAsia="Times New Roman" w:hAnsi="Times New Roman"/>
          <w:sz w:val="22"/>
          <w:szCs w:val="22"/>
          <w:color w:val="auto"/>
        </w:rPr>
        <w:t>. For purposes of Section 409A (including, without limitation, for purposes of Treasury Regulation Section 1.409A-2(b)(2)(iii)), Executive’s right to receive any installment payments under this Agreement shall be treated as a right to receive a series of separate payments and, accordingly, each such installment payment shall at all times be considered a separate and distinct payment.</w:t>
      </w:r>
    </w:p>
    <w:p>
      <w:pPr>
        <w:spacing w:after="0" w:line="132" w:lineRule="exact"/>
        <w:rPr>
          <w:rFonts w:ascii="Times New Roman" w:cs="Times New Roman" w:eastAsia="Times New Roman" w:hAnsi="Times New Roman"/>
          <w:sz w:val="22"/>
          <w:szCs w:val="22"/>
          <w:color w:val="auto"/>
        </w:rPr>
      </w:pPr>
    </w:p>
    <w:p>
      <w:pPr>
        <w:ind w:left="60" w:right="159" w:firstLine="638"/>
        <w:spacing w:after="0" w:line="262" w:lineRule="auto"/>
        <w:tabs>
          <w:tab w:leader="none" w:pos="1356"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Definition of Terms</w:t>
      </w:r>
      <w:r>
        <w:rPr>
          <w:rFonts w:ascii="Times New Roman" w:cs="Times New Roman" w:eastAsia="Times New Roman" w:hAnsi="Times New Roman"/>
          <w:sz w:val="22"/>
          <w:szCs w:val="22"/>
          <w:color w:val="auto"/>
        </w:rPr>
        <w:t>. The following terms referred to in this Agreement shall have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following meanings:</w:t>
      </w:r>
    </w:p>
    <w:p>
      <w:pPr>
        <w:spacing w:after="0" w:line="113" w:lineRule="exact"/>
        <w:rPr>
          <w:rFonts w:ascii="Times New Roman" w:cs="Times New Roman" w:eastAsia="Times New Roman" w:hAnsi="Times New Roman"/>
          <w:sz w:val="22"/>
          <w:szCs w:val="22"/>
          <w:b w:val="1"/>
          <w:bCs w:val="1"/>
          <w:color w:val="auto"/>
        </w:rPr>
      </w:pPr>
    </w:p>
    <w:p>
      <w:pPr>
        <w:ind w:left="60" w:right="99" w:firstLine="1286"/>
        <w:spacing w:after="0" w:line="235" w:lineRule="auto"/>
        <w:tabs>
          <w:tab w:leader="none" w:pos="2004"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means the occurrence of any of the following events, as determined by the Board or a committee designated by the Board, in its sole discretion: (i) Executive’s commission of any felony or any crime involving fraud, dishonesty, or moral turpitude under the laws of the United States or any state thereof; (ii) Executive’s attempted commission of, or participation in, a fraud or act of dishonesty against the Company; (iii) Executive’s intentional, material violation of any contract or agreement between Executive and the Company or of any statutory duty owed to the Company; (iv) Executive’s unauthorized use or disclosure of the Company’s confidential information or trade secrets; or (v) Executive’s gross misconduct.</w:t>
      </w:r>
    </w:p>
    <w:p>
      <w:pPr>
        <w:spacing w:after="0" w:line="151" w:lineRule="exact"/>
        <w:rPr>
          <w:rFonts w:ascii="Times New Roman" w:cs="Times New Roman" w:eastAsia="Times New Roman" w:hAnsi="Times New Roman"/>
          <w:sz w:val="22"/>
          <w:szCs w:val="22"/>
          <w:color w:val="auto"/>
        </w:rPr>
      </w:pPr>
    </w:p>
    <w:p>
      <w:pPr>
        <w:ind w:left="60" w:right="559" w:firstLine="1286"/>
        <w:spacing w:after="0" w:line="282" w:lineRule="auto"/>
        <w:tabs>
          <w:tab w:leader="none" w:pos="2004"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means the occurrence, in a single transaction or in a series of related transactions, of any one or more of the following events:</w:t>
      </w:r>
    </w:p>
    <w:p>
      <w:pPr>
        <w:spacing w:after="0" w:line="94" w:lineRule="exact"/>
        <w:rPr>
          <w:sz w:val="20"/>
          <w:szCs w:val="20"/>
          <w:color w:val="auto"/>
        </w:rPr>
      </w:pPr>
    </w:p>
    <w:p>
      <w:pPr>
        <w:ind w:left="700" w:right="99" w:firstLine="646"/>
        <w:spacing w:after="0" w:line="234" w:lineRule="auto"/>
        <w:tabs>
          <w:tab w:leader="none" w:pos="199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transaction or series of transactions (other than an offering of the common stock of the Company to the general public through a registration statement filed with the Securities and Exchange Commission) whereby any “person” or related “group” of “persons” (as such terms are used in Sections 13(d) and 14(d)(2) of the Securities Exchange Act of 1934, as amended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fifty percent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96" w:name="page97"/>
    <w:bookmarkEnd w:id="96"/>
    <w:p>
      <w:pPr>
        <w:ind w:left="700" w:right="1159"/>
        <w:spacing w:after="0" w:line="258" w:lineRule="auto"/>
        <w:rPr>
          <w:sz w:val="20"/>
          <w:szCs w:val="20"/>
          <w:color w:val="auto"/>
        </w:rPr>
      </w:pPr>
      <w:r>
        <w:rPr>
          <w:rFonts w:ascii="Times New Roman" w:cs="Times New Roman" w:eastAsia="Times New Roman" w:hAnsi="Times New Roman"/>
          <w:sz w:val="22"/>
          <w:szCs w:val="22"/>
          <w:color w:val="auto"/>
        </w:rPr>
        <w:t>(50%) of the total combined voting power of the Company’s securities outstanding immediately after such acquisition; or</w:t>
      </w:r>
    </w:p>
    <w:p>
      <w:pPr>
        <w:spacing w:after="0" w:line="118" w:lineRule="exact"/>
        <w:rPr>
          <w:sz w:val="20"/>
          <w:szCs w:val="20"/>
          <w:color w:val="auto"/>
        </w:rPr>
      </w:pPr>
    </w:p>
    <w:p>
      <w:pPr>
        <w:ind w:left="700" w:right="79" w:firstLine="646"/>
        <w:spacing w:after="0" w:line="245" w:lineRule="auto"/>
        <w:tabs>
          <w:tab w:leader="none" w:pos="1996"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any period of two (2) consecutive years, individuals who, at the beginning of such period, constitute the Board together with any new director(s) (other than a director designated by a person who shall have entered into an agreement with the Company to effect a transaction described in Sections 11(b)(i) or 11(b)(ii) whose election by the Board or nomination for election by the Company’s stockholders was approved by a vote of at least two-thirds of the directors then still in office who either were directors at the beginning of the two</w:t>
      </w:r>
    </w:p>
    <w:p>
      <w:pPr>
        <w:spacing w:after="0" w:line="2" w:lineRule="exact"/>
        <w:rPr>
          <w:rFonts w:ascii="Times New Roman" w:cs="Times New Roman" w:eastAsia="Times New Roman" w:hAnsi="Times New Roman"/>
          <w:sz w:val="21"/>
          <w:szCs w:val="21"/>
          <w:color w:val="auto"/>
        </w:rPr>
      </w:pPr>
    </w:p>
    <w:p>
      <w:pPr>
        <w:ind w:left="700" w:right="99"/>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(2)-year period or whose election or nomination for election was previously so approved, cease for any reason to constitute a majority thereof; or</w:t>
      </w:r>
    </w:p>
    <w:p>
      <w:pPr>
        <w:spacing w:after="0" w:line="151" w:lineRule="exact"/>
        <w:rPr>
          <w:rFonts w:ascii="Times New Roman" w:cs="Times New Roman" w:eastAsia="Times New Roman" w:hAnsi="Times New Roman"/>
          <w:sz w:val="21"/>
          <w:szCs w:val="21"/>
          <w:color w:val="auto"/>
        </w:rPr>
      </w:pPr>
    </w:p>
    <w:p>
      <w:pPr>
        <w:ind w:left="700" w:right="99" w:firstLine="646"/>
        <w:spacing w:after="0" w:line="232" w:lineRule="auto"/>
        <w:tabs>
          <w:tab w:leader="none" w:pos="199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 (A) 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 w:cs="Times New Roman" w:eastAsia="Times New Roman" w:hAnsi="Times New Roman"/>
          <w:sz w:val="22"/>
          <w:szCs w:val="22"/>
          <w:u w:val="single" w:color="auto"/>
          <w:color w:val="auto"/>
        </w:rPr>
        <w:t>Successor Entity</w:t>
      </w:r>
      <w:r>
        <w:rPr>
          <w:rFonts w:ascii="Times New Roman" w:cs="Times New Roman" w:eastAsia="Times New Roman" w:hAnsi="Times New Roman"/>
          <w:sz w:val="22"/>
          <w:szCs w:val="22"/>
          <w:color w:val="auto"/>
        </w:rPr>
        <w:t>”)) directly or indirectly, at least a majority of the combined voting power of the Successor Entity’s outstanding voting securities immediately after the transaction, and (B) after which no person or group beneficially owns voting securities representing fifty percent (50%) or more of the combined voting power of the Successor Entity; provided, however, that no person or group shall be treated for purposes of this Section 11(b)(iii) as beneficially owning fifty percent (50%) or more of the combined voting power of the Successor Entity solely as a result of the voting power held in the Company prior to the consummation of the transaction; or</w:t>
      </w:r>
    </w:p>
    <w:p>
      <w:pPr>
        <w:spacing w:after="0" w:line="147" w:lineRule="exact"/>
        <w:rPr>
          <w:rFonts w:ascii="Times New Roman" w:cs="Times New Roman" w:eastAsia="Times New Roman" w:hAnsi="Times New Roman"/>
          <w:sz w:val="22"/>
          <w:szCs w:val="22"/>
          <w:color w:val="auto"/>
        </w:rPr>
      </w:pPr>
    </w:p>
    <w:p>
      <w:pPr>
        <w:ind w:left="2000" w:hanging="654"/>
        <w:spacing w:after="0"/>
        <w:tabs>
          <w:tab w:leader="none" w:pos="200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stockholders approve a liquidation or dissolution of the</w:t>
      </w:r>
    </w:p>
    <w:p>
      <w:pPr>
        <w:spacing w:after="0" w:line="14" w:lineRule="exact"/>
        <w:rPr>
          <w:rFonts w:ascii="Times New Roman" w:cs="Times New Roman" w:eastAsia="Times New Roman" w:hAnsi="Times New Roman"/>
          <w:sz w:val="22"/>
          <w:szCs w:val="22"/>
          <w:color w:val="auto"/>
        </w:rPr>
      </w:pPr>
    </w:p>
    <w:p>
      <w:pPr>
        <w:ind w:left="7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w:t>
      </w:r>
    </w:p>
    <w:p>
      <w:pPr>
        <w:spacing w:after="0" w:line="142" w:lineRule="exact"/>
        <w:rPr>
          <w:sz w:val="20"/>
          <w:szCs w:val="20"/>
          <w:color w:val="auto"/>
        </w:rPr>
      </w:pPr>
    </w:p>
    <w:p>
      <w:pPr>
        <w:jc w:val="both"/>
        <w:ind w:left="60" w:right="59"/>
        <w:spacing w:after="0" w:line="238" w:lineRule="auto"/>
        <w:rPr>
          <w:sz w:val="20"/>
          <w:szCs w:val="20"/>
          <w:color w:val="auto"/>
        </w:rPr>
      </w:pPr>
      <w:r>
        <w:rPr>
          <w:rFonts w:ascii="Times New Roman" w:cs="Times New Roman" w:eastAsia="Times New Roman" w:hAnsi="Times New Roman"/>
          <w:sz w:val="22"/>
          <w:szCs w:val="22"/>
          <w:color w:val="auto"/>
        </w:rPr>
        <w:t>Notwithstanding the foregoing, if a Change in Control constitutes a payment event with respect to any amount which constitutes or provides for the deferral of compensation and is subject to Section 409A of the Code, the transaction or event with respect to such amount must also constitute a “change in control event,” as defined in Treasury Regulation Section 1.409A-3(i)(5) to the extent required by Section 409A of the Code.</w:t>
      </w:r>
    </w:p>
    <w:p>
      <w:pPr>
        <w:spacing w:after="0" w:line="150" w:lineRule="exact"/>
        <w:rPr>
          <w:sz w:val="20"/>
          <w:szCs w:val="20"/>
          <w:color w:val="auto"/>
        </w:rPr>
      </w:pPr>
    </w:p>
    <w:p>
      <w:pPr>
        <w:ind w:left="60" w:right="479" w:firstLine="1286"/>
        <w:spacing w:after="0" w:line="244" w:lineRule="auto"/>
        <w:tabs>
          <w:tab w:leader="none" w:pos="2004"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 Period</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Change in Control Period</w:t>
      </w:r>
      <w:r>
        <w:rPr>
          <w:rFonts w:ascii="Times New Roman" w:cs="Times New Roman" w:eastAsia="Times New Roman" w:hAnsi="Times New Roman"/>
          <w:sz w:val="22"/>
          <w:szCs w:val="22"/>
          <w:color w:val="auto"/>
        </w:rPr>
        <w:t>” means the period of time commencing three (3) months prior to a Change in Control and ending twelve (12) months following the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97" w:name="page98"/>
    <w:bookmarkEnd w:id="97"/>
    <w:p>
      <w:pPr>
        <w:ind w:left="60" w:right="399" w:firstLine="1286"/>
        <w:spacing w:after="0" w:line="282" w:lineRule="auto"/>
        <w:tabs>
          <w:tab w:leader="none" w:pos="2004"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Covered Termination</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Covered Termination</w:t>
      </w:r>
      <w:r>
        <w:rPr>
          <w:rFonts w:ascii="Times New Roman" w:cs="Times New Roman" w:eastAsia="Times New Roman" w:hAnsi="Times New Roman"/>
          <w:sz w:val="21"/>
          <w:szCs w:val="21"/>
          <w:color w:val="auto"/>
        </w:rPr>
        <w:t>” shall mean the termination of Executive’s employment by the Company other than for Cause or by Executive for Good Reason.</w:t>
      </w:r>
    </w:p>
    <w:p>
      <w:pPr>
        <w:spacing w:after="0" w:line="94" w:lineRule="exact"/>
        <w:rPr>
          <w:rFonts w:ascii="Times New Roman" w:cs="Times New Roman" w:eastAsia="Times New Roman" w:hAnsi="Times New Roman"/>
          <w:sz w:val="21"/>
          <w:szCs w:val="21"/>
          <w:color w:val="auto"/>
        </w:rPr>
      </w:pPr>
    </w:p>
    <w:p>
      <w:pPr>
        <w:ind w:left="60" w:right="79" w:firstLine="1286"/>
        <w:spacing w:after="0" w:line="244" w:lineRule="auto"/>
        <w:tabs>
          <w:tab w:leader="none" w:pos="2004"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xml:space="preserve">” means Executive’s resignation from all positions he or she then holds with the Company if (i) (A) there is a material diminution in Executive’s duties and responsibilities with the Company;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that a change in title or reporting relationship will not constitute Good Reason; (B) there is a material reduction of Executive’s base salary;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a material reduction in Executive’s base salary pursuant to a salary reduction program affecting all or substantially all of the employees of the Company and that does not adversely affect Executive to a greater extent than other similarly situated employees shall not constitute Good Reason; or (C) Executive is required to relocate Executive’s primary work location to a facility or location that would increase Executive’s one-way commute distance by more than fifty</w:t>
      </w:r>
    </w:p>
    <w:p>
      <w:pPr>
        <w:spacing w:after="0" w:line="1" w:lineRule="exact"/>
        <w:rPr>
          <w:rFonts w:ascii="Times New Roman" w:cs="Times New Roman" w:eastAsia="Times New Roman" w:hAnsi="Times New Roman"/>
          <w:sz w:val="21"/>
          <w:szCs w:val="21"/>
          <w:color w:val="auto"/>
        </w:rPr>
      </w:pPr>
    </w:p>
    <w:p>
      <w:pPr>
        <w:ind w:left="60" w:right="79" w:hanging="10"/>
        <w:spacing w:after="0" w:line="232" w:lineRule="auto"/>
        <w:tabs>
          <w:tab w:leader="none" w:pos="474"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miles from Executive’s primary work location as of immediately prior to such change, (ii) Executive provides written notice outlining such conditions, acts or omissions to the Company within thirty (30) days immediately following such material change or reduction, (iii) such material change or reduction is not remedied by the Company within thirty (30) days following the Company’s receipt of such written notice and (iv) Executive’s resignation is effective not later than thirty (30) days after the expiration of such thirty (30) day cure period.</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98" w:name="page99"/>
    <w:bookmarkEnd w:id="98"/>
    <w:p>
      <w:pPr>
        <w:ind w:left="60" w:right="539" w:firstLine="324"/>
        <w:spacing w:after="0" w:line="259" w:lineRule="auto"/>
        <w:rPr>
          <w:sz w:val="20"/>
          <w:szCs w:val="20"/>
          <w:color w:val="auto"/>
        </w:rPr>
      </w:pPr>
      <w:r>
        <w:rPr>
          <w:rFonts w:ascii="Times New Roman" w:cs="Times New Roman" w:eastAsia="Times New Roman" w:hAnsi="Times New Roman"/>
          <w:sz w:val="22"/>
          <w:szCs w:val="22"/>
          <w:color w:val="auto"/>
        </w:rPr>
        <w:t>IN WITNESS WHEREOF, each of the parties has executed this Agreement, in the case of the Company by its duly authorized officer, as of the day and year set forth below.</w:t>
      </w:r>
    </w:p>
    <w:p>
      <w:pPr>
        <w:spacing w:after="0" w:line="16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1"/>
          <w:szCs w:val="21"/>
          <w:b w:val="1"/>
          <w:bCs w:val="1"/>
          <w:color w:val="auto"/>
        </w:rPr>
        <w:t>CORVUS PHARMACEUTICALS, INC.</w:t>
      </w:r>
    </w:p>
    <w:p>
      <w:pPr>
        <w:spacing w:after="0" w:line="249" w:lineRule="exact"/>
        <w:rPr>
          <w:sz w:val="20"/>
          <w:szCs w:val="20"/>
          <w:color w:val="auto"/>
        </w:rPr>
      </w:pPr>
    </w:p>
    <w:p>
      <w:pPr>
        <w:ind w:left="5040"/>
        <w:spacing w:after="0"/>
        <w:tabs>
          <w:tab w:leader="none" w:pos="5600" w:val="left"/>
        </w:tabs>
        <w:rPr>
          <w:sz w:val="20"/>
          <w:szCs w:val="20"/>
          <w:color w:val="auto"/>
        </w:rPr>
      </w:pPr>
      <w:r>
        <w:rPr>
          <w:rFonts w:ascii="Times New Roman" w:cs="Times New Roman" w:eastAsia="Times New Roman" w:hAnsi="Times New Roman"/>
          <w:sz w:val="22"/>
          <w:szCs w:val="22"/>
          <w:color w:val="auto"/>
        </w:rPr>
        <w:t>By:</w:t>
        <w:tab/>
        <w:t>/s/ Richard A.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10795</wp:posOffset>
            </wp:positionV>
            <wp:extent cx="211709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3">
                      <a:extLst>
                        <a:ext uri="{28A0092B-C50C-407E-A947-70E740481C1C}"/>
                      </a:extLst>
                    </a:blip>
                    <a:srcRect/>
                    <a:stretch>
                      <a:fillRect/>
                    </a:stretch>
                  </pic:blipFill>
                  <pic:spPr bwMode="auto">
                    <a:xfrm>
                      <a:off x="0" y="0"/>
                      <a:ext cx="2117090" cy="8890"/>
                    </a:xfrm>
                    <a:prstGeom prst="rect">
                      <a:avLst/>
                    </a:prstGeom>
                    <a:noFill/>
                  </pic:spPr>
                </pic:pic>
              </a:graphicData>
            </a:graphic>
          </wp:anchor>
        </w:drawing>
      </w:r>
    </w:p>
    <w:p>
      <w:pPr>
        <w:spacing w:after="0" w:line="22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Title: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10795</wp:posOffset>
            </wp:positionV>
            <wp:extent cx="21170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4">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22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Date: 2/2/2024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10795</wp:posOffset>
            </wp:positionV>
            <wp:extent cx="21170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5">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22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3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/s/ Jeffrey S. Arcara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3202940</wp:posOffset>
            </wp:positionH>
            <wp:positionV relativeFrom="paragraph">
              <wp:posOffset>10795</wp:posOffset>
            </wp:positionV>
            <wp:extent cx="24860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6">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22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Name:Jeffrey S. Arcara</w:t>
      </w:r>
    </w:p>
    <w:p>
      <w:pPr>
        <w:spacing w:after="0" w:line="23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Date: 2/2/2024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10795</wp:posOffset>
            </wp:positionV>
            <wp:extent cx="21170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7">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to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356235</wp:posOffset>
            </wp:positionV>
            <wp:extent cx="56578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A. Miller, M.D. President and Chief Executive Officer of Corvus Pharmaceuticals, Inc., certify that:</w:t>
      </w:r>
    </w:p>
    <w:p>
      <w:pPr>
        <w:spacing w:after="0" w:line="225" w:lineRule="exact"/>
        <w:rPr>
          <w:sz w:val="20"/>
          <w:szCs w:val="20"/>
          <w:color w:val="auto"/>
        </w:rPr>
      </w:pPr>
    </w:p>
    <w:p>
      <w:pPr>
        <w:ind w:left="640" w:hanging="308"/>
        <w:spacing w:after="0"/>
        <w:tabs>
          <w:tab w:leader="none" w:pos="6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Corvus Pharmaceuticals, Inc.;</w:t>
      </w:r>
    </w:p>
    <w:p>
      <w:pPr>
        <w:spacing w:after="0" w:line="22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1"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51"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4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80" w:hanging="320"/>
        <w:spacing w:after="0" w:line="261" w:lineRule="auto"/>
        <w:tabs>
          <w:tab w:leader="none" w:pos="1311"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300" w:right="100" w:hanging="320"/>
        <w:spacing w:after="0" w:line="289" w:lineRule="auto"/>
        <w:tabs>
          <w:tab w:leader="none" w:pos="1321"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1300" w:right="260" w:hanging="320"/>
        <w:spacing w:after="0" w:line="266" w:lineRule="auto"/>
        <w:tabs>
          <w:tab w:leader="none" w:pos="1311"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300" w:right="80" w:hanging="320"/>
        <w:spacing w:after="0" w:line="261" w:lineRule="auto"/>
        <w:tabs>
          <w:tab w:leader="none" w:pos="1321"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4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300" w:right="440" w:hanging="320"/>
        <w:spacing w:after="0" w:line="266" w:lineRule="auto"/>
        <w:tabs>
          <w:tab w:leader="none" w:pos="1301"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right="260" w:hanging="320"/>
        <w:spacing w:after="0" w:line="282" w:lineRule="auto"/>
        <w:tabs>
          <w:tab w:leader="none" w:pos="1311"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2024</w:t>
            </w:r>
          </w:p>
        </w:tc>
        <w:tc>
          <w:tcPr>
            <w:tcW w:w="244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A. Miller</w:t>
            </w:r>
          </w:p>
        </w:tc>
      </w:tr>
      <w:tr>
        <w:trPr>
          <w:trHeight w:val="191"/>
        </w:trPr>
        <w:tc>
          <w:tcPr>
            <w:tcW w:w="3160" w:type="dxa"/>
            <w:vAlign w:val="bottom"/>
          </w:tcPr>
          <w:p>
            <w:pPr>
              <w:spacing w:after="0"/>
              <w:rPr>
                <w:sz w:val="16"/>
                <w:szCs w:val="16"/>
                <w:color w:val="auto"/>
              </w:rPr>
            </w:pPr>
          </w:p>
        </w:tc>
        <w:tc>
          <w:tcPr>
            <w:tcW w:w="2440" w:type="dxa"/>
            <w:vAlign w:val="bottom"/>
          </w:tcPr>
          <w:p>
            <w:pPr>
              <w:ind w:left="18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A. Miller, M.D.</w:t>
            </w:r>
          </w:p>
        </w:tc>
      </w:tr>
      <w:tr>
        <w:trPr>
          <w:trHeight w:val="216"/>
        </w:trPr>
        <w:tc>
          <w:tcPr>
            <w:tcW w:w="3160" w:type="dxa"/>
            <w:vAlign w:val="bottom"/>
          </w:tcPr>
          <w:p>
            <w:pPr>
              <w:spacing w:after="0"/>
              <w:rPr>
                <w:sz w:val="18"/>
                <w:szCs w:val="18"/>
                <w:color w:val="auto"/>
              </w:rPr>
            </w:pPr>
          </w:p>
        </w:tc>
        <w:tc>
          <w:tcPr>
            <w:tcW w:w="244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Title:</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1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76"/>
        </w:trPr>
        <w:tc>
          <w:tcPr>
            <w:tcW w:w="31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Leiv Lea, Chief Financial Officer of Corvus Pharmaceuticals, Inc., certify that:</w:t>
      </w:r>
    </w:p>
    <w:p>
      <w:pPr>
        <w:spacing w:after="0" w:line="225" w:lineRule="exact"/>
        <w:rPr>
          <w:sz w:val="20"/>
          <w:szCs w:val="20"/>
          <w:color w:val="auto"/>
        </w:rPr>
      </w:pPr>
    </w:p>
    <w:p>
      <w:pPr>
        <w:ind w:left="640" w:hanging="308"/>
        <w:spacing w:after="0"/>
        <w:tabs>
          <w:tab w:leader="none" w:pos="6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Corvus Pharmaceuticals, Inc.;</w:t>
      </w:r>
    </w:p>
    <w:p>
      <w:pPr>
        <w:spacing w:after="0" w:line="22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5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4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80" w:hanging="320"/>
        <w:spacing w:after="0" w:line="261" w:lineRule="auto"/>
        <w:tabs>
          <w:tab w:leader="none" w:pos="1311"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300" w:right="100" w:hanging="320"/>
        <w:spacing w:after="0" w:line="289" w:lineRule="auto"/>
        <w:tabs>
          <w:tab w:leader="none" w:pos="1321"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1300" w:right="260" w:hanging="320"/>
        <w:spacing w:after="0" w:line="266" w:lineRule="auto"/>
        <w:tabs>
          <w:tab w:leader="none" w:pos="1311"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300" w:right="80" w:hanging="320"/>
        <w:spacing w:after="0" w:line="261" w:lineRule="auto"/>
        <w:tabs>
          <w:tab w:leader="none" w:pos="1321"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4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300" w:right="440" w:hanging="320"/>
        <w:spacing w:after="0" w:line="266" w:lineRule="auto"/>
        <w:tabs>
          <w:tab w:leader="none" w:pos="1301"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right="260" w:hanging="320"/>
        <w:spacing w:after="0" w:line="282" w:lineRule="auto"/>
        <w:tabs>
          <w:tab w:leader="none" w:pos="1311"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2024</w:t>
            </w:r>
          </w:p>
        </w:tc>
        <w:tc>
          <w:tcPr>
            <w:tcW w:w="24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Leiv Lea</w:t>
            </w:r>
          </w:p>
        </w:tc>
      </w:tr>
      <w:tr>
        <w:trPr>
          <w:trHeight w:val="191"/>
        </w:trPr>
        <w:tc>
          <w:tcPr>
            <w:tcW w:w="3200" w:type="dxa"/>
            <w:vAlign w:val="bottom"/>
          </w:tcPr>
          <w:p>
            <w:pPr>
              <w:spacing w:after="0"/>
              <w:rPr>
                <w:sz w:val="16"/>
                <w:szCs w:val="16"/>
                <w:color w:val="auto"/>
              </w:rPr>
            </w:pPr>
          </w:p>
        </w:tc>
        <w:tc>
          <w:tcPr>
            <w:tcW w:w="2420" w:type="dxa"/>
            <w:vAlign w:val="bottom"/>
          </w:tcPr>
          <w:p>
            <w:pPr>
              <w:ind w:left="18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Leiv Lea</w:t>
            </w:r>
          </w:p>
        </w:tc>
      </w:tr>
      <w:tr>
        <w:trPr>
          <w:trHeight w:val="216"/>
        </w:trPr>
        <w:tc>
          <w:tcPr>
            <w:tcW w:w="3200" w:type="dxa"/>
            <w:vAlign w:val="bottom"/>
          </w:tcPr>
          <w:p>
            <w:pPr>
              <w:spacing w:after="0"/>
              <w:rPr>
                <w:sz w:val="18"/>
                <w:szCs w:val="18"/>
                <w:color w:val="auto"/>
              </w:rPr>
            </w:pPr>
          </w:p>
        </w:tc>
        <w:tc>
          <w:tcPr>
            <w:tcW w:w="24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Title:</w:t>
            </w: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2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776"/>
        </w:trPr>
        <w:tc>
          <w:tcPr>
            <w:tcW w:w="32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Corvus Pharmaceuticals, Inc. (the “Company”) on Form 10-Q for the fiscal quarter ended March 31, 2024, as filed with the Securities and Exchange Commission on the date hereof (the “Report”), Richard A. Miller, President and Chief Executive Officer of the Company, and Leiv Lea, Chief Financial Officer of the Company, respectively, do each hereby certify, pursuant to 18 U.S.C. Section 1350, as adopted pursuant to Section 906 of the Sarbanes-Oxley Act of 2002, that:</w:t>
      </w:r>
    </w:p>
    <w:p>
      <w:pPr>
        <w:spacing w:after="0" w:line="180" w:lineRule="exact"/>
        <w:rPr>
          <w:sz w:val="20"/>
          <w:szCs w:val="20"/>
          <w:color w:val="auto"/>
        </w:rPr>
      </w:pPr>
    </w:p>
    <w:p>
      <w:pPr>
        <w:ind w:left="980" w:hanging="324"/>
        <w:spacing w:after="0"/>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right="540" w:hanging="324"/>
        <w:spacing w:after="0" w:line="282" w:lineRule="auto"/>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Richard A.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800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9">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A. Miller, M.D.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Leiv Lea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800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0">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Leiv Lea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2024</w:t>
      </w:r>
    </w:p>
    <w:p>
      <w:pPr>
        <w:spacing w:after="0" w:line="22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Report on Form 10-Q to which it relates, is not deemed filed with the Securities and Exchange Commission and is not to be incorporated by reference into any filing of Corvus Pharmaceuticals, Inc. under the Securities Act of 1933, as amended, or the Securities Exchange Act of 1934, as amended (whether made before or after the date of this Report on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331470</wp:posOffset>
            </wp:positionV>
            <wp:extent cx="629221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1."/>
      <w:numFmt w:val="decimal"/>
      <w:start w:val="15"/>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
      <w:numFmt w:val="bullet"/>
      <w:start w:val="1"/>
    </w:lvl>
  </w:abstractNum>
  <w:abstractNum w:abstractNumId="11">
    <w:nsid w:val="6A2342EC"/>
    <w:multiLevelType w:val="hybridMultilevel"/>
    <w:lvl w:ilvl="0">
      <w:lvlJc w:val="left"/>
      <w:lvlText w:val="(%1)"/>
      <w:numFmt w:val="lowerLetter"/>
      <w:start w:val="1"/>
    </w:lvl>
  </w:abstractNum>
  <w:abstractNum w:abstractNumId="12">
    <w:nsid w:val="2A487CB0"/>
    <w:multiLevelType w:val="hybridMultilevel"/>
    <w:lvl w:ilvl="0">
      <w:lvlJc w:val="left"/>
      <w:lvlText w:val="(%1)"/>
      <w:numFmt w:val="lowerLetter"/>
      <w:start w:val="2"/>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
      <w:numFmt w:val="bullet"/>
      <w:start w:val="1"/>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
      <w:numFmt w:val="bullet"/>
      <w:start w:val="1"/>
    </w:lvl>
  </w:abstractNum>
  <w:abstractNum w:abstractNumId="19">
    <w:nsid w:val="542289EC"/>
    <w:multiLevelType w:val="hybridMultilevel"/>
    <w:lvl w:ilvl="0">
      <w:lvlJc w:val="left"/>
      <w:lvlText w:val="●"/>
      <w:numFmt w:val="bullet"/>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
      <w:numFmt w:val="bullet"/>
      <w:start w:val="1"/>
    </w:lvl>
  </w:abstractNum>
  <w:abstractNum w:abstractNumId="23">
    <w:nsid w:val="32FFF902"/>
    <w:multiLevelType w:val="hybridMultilevel"/>
    <w:lvl w:ilvl="0">
      <w:lvlJc w:val="left"/>
      <w:lvlText w:val="●"/>
      <w:numFmt w:val="bullet"/>
      <w:start w:val="1"/>
    </w:lvl>
  </w:abstractNum>
  <w:abstractNum w:abstractNumId="24">
    <w:nsid w:val="684A481A"/>
    <w:multiLevelType w:val="hybridMultilevel"/>
    <w:lvl w:ilvl="0">
      <w:lvlJc w:val="left"/>
      <w:lvlText w:val="●"/>
      <w:numFmt w:val="bullet"/>
      <w:start w:val="1"/>
    </w:lvl>
  </w:abstractNum>
  <w:abstractNum w:abstractNumId="25">
    <w:nsid w:val="579478FE"/>
    <w:multiLevelType w:val="hybridMultilevel"/>
    <w:lvl w:ilvl="0">
      <w:lvlJc w:val="left"/>
      <w:lvlText w:val="●"/>
      <w:numFmt w:val="bullet"/>
      <w:start w:val="1"/>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
      <w:numFmt w:val="bullet"/>
      <w:start w:val="1"/>
    </w:lvl>
  </w:abstractNum>
  <w:abstractNum w:abstractNumId="29">
    <w:nsid w:val="79A1DEAA"/>
    <w:multiLevelType w:val="hybridMultilevel"/>
    <w:lvl w:ilvl="0">
      <w:lvlJc w:val="left"/>
      <w:lvlText w:val="●"/>
      <w:numFmt w:val="bullet"/>
      <w:start w:val="1"/>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
      <w:numFmt w:val="bullet"/>
      <w:start w:val="1"/>
    </w:lvl>
  </w:abstractNum>
  <w:abstractNum w:abstractNumId="32">
    <w:nsid w:val="70C6A529"/>
    <w:multiLevelType w:val="hybridMultilevel"/>
    <w:lvl w:ilvl="0">
      <w:lvlJc w:val="left"/>
      <w:lvlText w:val="●"/>
      <w:numFmt w:val="bullet"/>
      <w:start w:val="1"/>
    </w:lvl>
  </w:abstractNum>
  <w:abstractNum w:abstractNumId="33">
    <w:nsid w:val="520EEDD1"/>
    <w:multiLevelType w:val="hybridMultilevel"/>
    <w:lvl w:ilvl="0">
      <w:lvlJc w:val="left"/>
      <w:lvlText w:val="●"/>
      <w:numFmt w:val="bullet"/>
      <w:start w:val="1"/>
    </w:lvl>
  </w:abstractNum>
  <w:abstractNum w:abstractNumId="34">
    <w:nsid w:val="374A3FE6"/>
    <w:multiLevelType w:val="hybridMultilevel"/>
    <w:lvl w:ilvl="0">
      <w:lvlJc w:val="left"/>
      <w:lvlText w:val="●"/>
      <w:numFmt w:val="bullet"/>
      <w:start w:val="1"/>
    </w:lvl>
  </w:abstractNum>
  <w:abstractNum w:abstractNumId="35">
    <w:nsid w:val="4F4EF005"/>
    <w:multiLevelType w:val="hybridMultilevel"/>
    <w:lvl w:ilvl="0">
      <w:lvlJc w:val="left"/>
      <w:lvlText w:val="●"/>
      <w:numFmt w:val="bullet"/>
      <w:start w:val="1"/>
    </w:lvl>
  </w:abstractNum>
  <w:abstractNum w:abstractNumId="36">
    <w:nsid w:val="23F9C13C"/>
    <w:multiLevelType w:val="hybridMultilevel"/>
    <w:lvl w:ilvl="0">
      <w:lvlJc w:val="left"/>
      <w:lvlText w:val="●"/>
      <w:numFmt w:val="bullet"/>
      <w:start w:val="1"/>
    </w:lvl>
  </w:abstractNum>
  <w:abstractNum w:abstractNumId="37">
    <w:nsid w:val="649BB77C"/>
    <w:multiLevelType w:val="hybridMultilevel"/>
    <w:lvl w:ilvl="0">
      <w:lvlJc w:val="left"/>
      <w:lvlText w:val="●"/>
      <w:numFmt w:val="bullet"/>
      <w:start w:val="1"/>
    </w:lvl>
  </w:abstractNum>
  <w:abstractNum w:abstractNumId="38">
    <w:nsid w:val="275AC794"/>
    <w:multiLevelType w:val="hybridMultilevel"/>
    <w:lvl w:ilvl="0">
      <w:lvlJc w:val="left"/>
      <w:lvlText w:val="(%1)"/>
      <w:numFmt w:val="lowerLetter"/>
      <w:start w:val="2"/>
    </w:lvl>
  </w:abstractNum>
  <w:abstractNum w:abstractNumId="39">
    <w:nsid w:val="39386575"/>
    <w:multiLevelType w:val="hybridMultilevel"/>
    <w:lvl w:ilvl="0">
      <w:lvlJc w:val="left"/>
      <w:lvlText w:val="●"/>
      <w:numFmt w:val="bullet"/>
      <w:start w:val="1"/>
    </w:lvl>
  </w:abstractNum>
  <w:abstractNum w:abstractNumId="40">
    <w:nsid w:val="1CF10FD8"/>
    <w:multiLevelType w:val="hybridMultilevel"/>
    <w:lvl w:ilvl="0">
      <w:lvlJc w:val="left"/>
      <w:lvlText w:val="●"/>
      <w:numFmt w:val="bullet"/>
      <w:start w:val="1"/>
    </w:lvl>
  </w:abstractNum>
  <w:abstractNum w:abstractNumId="41">
    <w:nsid w:val="180115BE"/>
    <w:multiLevelType w:val="hybridMultilevel"/>
    <w:lvl w:ilvl="0">
      <w:lvlJc w:val="left"/>
      <w:lvlText w:val="#"/>
      <w:numFmt w:val="bullet"/>
      <w:start w:val="1"/>
    </w:lvl>
  </w:abstractNum>
  <w:abstractNum w:abstractNumId="42">
    <w:nsid w:val="235BA861"/>
    <w:multiLevelType w:val="hybridMultilevel"/>
    <w:lvl w:ilvl="0">
      <w:lvlJc w:val="left"/>
      <w:lvlText w:val="*"/>
      <w:numFmt w:val="bullet"/>
      <w:start w:val="1"/>
    </w:lvl>
  </w:abstractNum>
  <w:abstractNum w:abstractNumId="43">
    <w:nsid w:val="47398C89"/>
    <w:multiLevelType w:val="hybridMultilevel"/>
    <w:lvl w:ilvl="0">
      <w:lvlJc w:val="left"/>
      <w:lvlText w:val="●"/>
      <w:numFmt w:val="bullet"/>
      <w:start w:val="1"/>
    </w:lvl>
  </w:abstractNum>
  <w:abstractNum w:abstractNumId="44">
    <w:nsid w:val="354FE9F9"/>
    <w:multiLevelType w:val="hybridMultilevel"/>
    <w:lvl w:ilvl="0">
      <w:lvlJc w:val="left"/>
      <w:lvlText w:val="%1."/>
      <w:numFmt w:val="upperLetter"/>
      <w:start w:val="1"/>
    </w:lvl>
  </w:abstractNum>
  <w:abstractNum w:abstractNumId="45">
    <w:nsid w:val="15B5AF5C"/>
    <w:multiLevelType w:val="hybridMultilevel"/>
    <w:lvl w:ilvl="0">
      <w:lvlJc w:val="left"/>
      <w:lvlText w:val="%1."/>
      <w:numFmt w:val="decimal"/>
      <w:start w:val="1"/>
    </w:lvl>
    <w:lvl w:ilvl="1">
      <w:lvlJc w:val="left"/>
      <w:lvlText w:val="(%2)"/>
      <w:numFmt w:val="lowerLetter"/>
      <w:start w:val="1"/>
    </w:lvl>
  </w:abstractNum>
  <w:abstractNum w:abstractNumId="46">
    <w:nsid w:val="741226BB"/>
    <w:multiLevelType w:val="hybridMultilevel"/>
    <w:lvl w:ilvl="0">
      <w:lvlJc w:val="left"/>
      <w:lvlText w:val="(%1)"/>
      <w:numFmt w:val="lowerLetter"/>
      <w:start w:val="2"/>
    </w:lvl>
  </w:abstractNum>
  <w:abstractNum w:abstractNumId="47">
    <w:nsid w:val="D34B6A8"/>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lvl w:ilvl="3">
      <w:lvlJc w:val="left"/>
      <w:lvlText w:val="(%4)"/>
      <w:numFmt w:val="lowerRoman"/>
      <w:start w:val="1"/>
    </w:lvl>
  </w:abstractNum>
  <w:abstractNum w:abstractNumId="48">
    <w:nsid w:val="10233C99"/>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lvl w:ilvl="3">
      <w:lvlJc w:val="left"/>
      <w:lvlText w:val="(%4)"/>
      <w:numFmt w:val="lowerRoman"/>
      <w:start w:val="2"/>
    </w:lvl>
  </w:abstractNum>
  <w:abstractNum w:abstractNumId="49">
    <w:nsid w:val="3F6AB60F"/>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3"/>
    </w:lvl>
    <w:lvl w:ilvl="3">
      <w:lvlJc w:val="left"/>
      <w:lvlText w:val="%4"/>
      <w:numFmt w:val="lowerRoman"/>
      <w:start w:val="1"/>
    </w:lvl>
  </w:abstractNum>
  <w:abstractNum w:abstractNumId="50">
    <w:nsid w:val="61574095"/>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lvl w:ilvl="3">
      <w:lvlJc w:val="left"/>
      <w:lvlText w:val="%4"/>
      <w:numFmt w:val="lowerRoman"/>
      <w:start w:val="1"/>
    </w:lvl>
  </w:abstractNum>
  <w:abstractNum w:abstractNumId="51">
    <w:nsid w:val="7E0C57B1"/>
    <w:multiLevelType w:val="hybridMultilevel"/>
    <w:lvl w:ilvl="0">
      <w:lvlJc w:val="left"/>
      <w:lvlText w:val="(%1)"/>
      <w:numFmt w:val="lowerLetter"/>
      <w:start w:val="9"/>
    </w:lvl>
    <w:lvl w:ilvl="1">
      <w:lvlJc w:val="left"/>
      <w:lvlText w:val="(%2)"/>
      <w:numFmt w:val="lowerLetter"/>
      <w:start w:val="3"/>
    </w:lvl>
    <w:lvl w:ilvl="2">
      <w:lvlJc w:val="left"/>
      <w:lvlText w:val="%3"/>
      <w:numFmt w:val="lowerRoman"/>
      <w:start w:val="1"/>
    </w:lvl>
    <w:lvl w:ilvl="3">
      <w:lvlJc w:val="left"/>
      <w:lvlText w:val="(%4)"/>
      <w:numFmt w:val="lowerRoman"/>
      <w:start w:val="1"/>
    </w:lvl>
  </w:abstractNum>
  <w:abstractNum w:abstractNumId="52">
    <w:nsid w:val="77AE35EB"/>
    <w:multiLevelType w:val="hybridMultilevel"/>
    <w:lvl w:ilvl="0">
      <w:lvlJc w:val="left"/>
      <w:lvlText w:val="%1"/>
      <w:numFmt w:val="lowerLetter"/>
      <w:start w:val="1"/>
    </w:lvl>
    <w:lvl w:ilvl="1">
      <w:lvlJc w:val="left"/>
      <w:lvlText w:val="(%2)"/>
      <w:numFmt w:val="lowerRoman"/>
      <w:start w:val="2"/>
    </w:lvl>
  </w:abstractNum>
  <w:abstractNum w:abstractNumId="53">
    <w:nsid w:val="579BE4F1"/>
    <w:multiLevelType w:val="hybridMultilevel"/>
    <w:lvl w:ilvl="0">
      <w:lvlJc w:val="left"/>
      <w:lvlText w:val="(%1)"/>
      <w:numFmt w:val="lowerLetter"/>
      <w:start w:val="4"/>
    </w:lvl>
    <w:lvl w:ilvl="1">
      <w:lvlJc w:val="left"/>
      <w:lvlText w:val="(%2)"/>
      <w:numFmt w:val="lowerRoman"/>
      <w:start w:val="1"/>
    </w:lvl>
  </w:abstractNum>
  <w:abstractNum w:abstractNumId="54">
    <w:nsid w:val="310C50B3"/>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55">
    <w:nsid w:val="5FF87E05"/>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abstractNum>
  <w:abstractNum w:abstractNumId="56">
    <w:nsid w:val="2F305DEF"/>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57">
    <w:nsid w:val="25A70BF7"/>
    <w:multiLevelType w:val="hybridMultilevel"/>
    <w:lvl w:ilvl="0">
      <w:lvlJc w:val="left"/>
      <w:lvlText w:val="%1."/>
      <w:numFmt w:val="decimal"/>
      <w:start w:val="5"/>
    </w:lvl>
    <w:lvl w:ilvl="1">
      <w:lvlJc w:val="left"/>
      <w:lvlText w:val="(%2)"/>
      <w:numFmt w:val="lowerLetter"/>
      <w:start w:val="1"/>
    </w:lvl>
  </w:abstractNum>
  <w:abstractNum w:abstractNumId="58">
    <w:nsid w:val="1DBABF00"/>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59">
    <w:nsid w:val="4AD084E9"/>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60">
    <w:nsid w:val="1F48EAA1"/>
    <w:multiLevelType w:val="hybridMultilevel"/>
    <w:lvl w:ilvl="0">
      <w:lvlJc w:val="left"/>
      <w:lvlText w:val="%1."/>
      <w:numFmt w:val="decimal"/>
      <w:start w:val="9"/>
    </w:lvl>
    <w:lvl w:ilvl="1">
      <w:lvlJc w:val="left"/>
      <w:lvlText w:val="(%2)"/>
      <w:numFmt w:val="lowerLetter"/>
      <w:start w:val="1"/>
    </w:lvl>
  </w:abstractNum>
  <w:abstractNum w:abstractNumId="61">
    <w:nsid w:val="1381823A"/>
    <w:multiLevelType w:val="hybridMultilevel"/>
    <w:lvl w:ilvl="0">
      <w:lvlJc w:val="left"/>
      <w:lvlText w:val="%1"/>
      <w:numFmt w:val="decimal"/>
      <w:start w:val="1"/>
    </w:lvl>
    <w:lvl w:ilvl="1">
      <w:lvlJc w:val="left"/>
      <w:lvlText w:val="(%2)"/>
      <w:numFmt w:val="lowerLetter"/>
      <w:start w:val="8"/>
    </w:lvl>
  </w:abstractNum>
  <w:abstractNum w:abstractNumId="62">
    <w:nsid w:val="5DB70AE5"/>
    <w:multiLevelType w:val="hybridMultilevel"/>
    <w:lvl w:ilvl="0">
      <w:lvlJc w:val="left"/>
      <w:lvlText w:val="%1."/>
      <w:numFmt w:val="decimal"/>
      <w:start w:val="10"/>
    </w:lvl>
    <w:lvl w:ilvl="1">
      <w:lvlJc w:val="left"/>
      <w:lvlText w:val="(%2)"/>
      <w:numFmt w:val="lowerLetter"/>
      <w:start w:val="1"/>
    </w:lvl>
  </w:abstractNum>
  <w:abstractNum w:abstractNumId="63">
    <w:nsid w:val="100F8FCA"/>
    <w:multiLevelType w:val="hybridMultilevel"/>
    <w:lvl w:ilvl="0">
      <w:lvlJc w:val="left"/>
      <w:lvlText w:val="%1"/>
      <w:numFmt w:val="decimal"/>
      <w:start w:val="1"/>
    </w:lvl>
    <w:lvl w:ilvl="1">
      <w:lvlJc w:val="left"/>
      <w:lvlText w:val="(%2)"/>
      <w:numFmt w:val="lowerLetter"/>
      <w:start w:val="3"/>
    </w:lvl>
  </w:abstractNum>
  <w:abstractNum w:abstractNumId="64">
    <w:nsid w:val="6590700B"/>
    <w:multiLevelType w:val="hybridMultilevel"/>
    <w:lvl w:ilvl="0">
      <w:lvlJc w:val="left"/>
      <w:lvlText w:val="%1."/>
      <w:numFmt w:val="decimal"/>
      <w:start w:val="11"/>
    </w:lvl>
    <w:lvl w:ilvl="1">
      <w:lvlJc w:val="left"/>
      <w:lvlText w:val="(%2)"/>
      <w:numFmt w:val="lowerLetter"/>
      <w:start w:val="1"/>
    </w:lvl>
  </w:abstractNum>
  <w:abstractNum w:abstractNumId="65">
    <w:nsid w:val="15014ACB"/>
    <w:multiLevelType w:val="hybridMultilevel"/>
    <w:lvl w:ilvl="0">
      <w:lvlJc w:val="left"/>
      <w:lvlText w:val="(%1)"/>
      <w:numFmt w:val="lowerRoman"/>
      <w:start w:val="1"/>
    </w:lvl>
  </w:abstractNum>
  <w:abstractNum w:abstractNumId="66">
    <w:nsid w:val="5F5E7FD0"/>
    <w:multiLevelType w:val="hybridMultilevel"/>
    <w:lvl w:ilvl="0">
      <w:lvlJc w:val="left"/>
      <w:lvlText w:val="(%1)"/>
      <w:numFmt w:val="lowerRoman"/>
      <w:start w:val="2"/>
    </w:lvl>
  </w:abstractNum>
  <w:abstractNum w:abstractNumId="67">
    <w:nsid w:val="98A3148"/>
    <w:multiLevelType w:val="hybridMultilevel"/>
    <w:lvl w:ilvl="0">
      <w:lvlJc w:val="left"/>
      <w:lvlText w:val="(%1)"/>
      <w:numFmt w:val="lowerLetter"/>
      <w:start w:val="3"/>
    </w:lvl>
  </w:abstractNum>
  <w:abstractNum w:abstractNumId="68">
    <w:nsid w:val="799D0247"/>
    <w:multiLevelType w:val="hybridMultilevel"/>
    <w:lvl w:ilvl="0">
      <w:lvlJc w:val="left"/>
      <w:lvlText w:val="%1"/>
      <w:numFmt w:val="decimal"/>
      <w:start w:val="1"/>
    </w:lvl>
    <w:lvl w:ilvl="1">
      <w:lvlJc w:val="left"/>
      <w:lvlText w:val="(%2)"/>
      <w:numFmt w:val="lowerLetter"/>
      <w:start w:val="4"/>
    </w:lvl>
  </w:abstractNum>
  <w:abstractNum w:abstractNumId="69">
    <w:nsid w:val="6B94764"/>
    <w:multiLevelType w:val="hybridMultilevel"/>
    <w:lvl w:ilvl="0">
      <w:lvlJc w:val="left"/>
      <w:lvlText w:val="(%1)"/>
      <w:numFmt w:val="decimal"/>
      <w:start w:val="50"/>
    </w:lvl>
    <w:lvl w:ilvl="1">
      <w:lvlJc w:val="left"/>
      <w:lvlText w:val="%2"/>
      <w:numFmt w:val="lowerLetter"/>
      <w:start w:val="1"/>
    </w:lvl>
  </w:abstractNum>
  <w:abstractNum w:abstractNumId="70">
    <w:nsid w:val="42C296BD"/>
    <w:multiLevelType w:val="hybridMultilevel"/>
    <w:lvl w:ilvl="0">
      <w:lvlJc w:val="left"/>
      <w:lvlText w:val="%1."/>
      <w:numFmt w:val="decimal"/>
      <w:start w:val="1"/>
    </w:lvl>
    <w:lvl w:ilvl="1">
      <w:lvlJc w:val="left"/>
      <w:lvlText w:val="(%2)"/>
      <w:numFmt w:val="lowerLetter"/>
      <w:start w:val="1"/>
    </w:lvl>
  </w:abstractNum>
  <w:abstractNum w:abstractNumId="71">
    <w:nsid w:val="168E121F"/>
    <w:multiLevelType w:val="hybridMultilevel"/>
    <w:lvl w:ilvl="0">
      <w:lvlJc w:val="left"/>
      <w:lvlText w:val="%1."/>
      <w:numFmt w:val="decimal"/>
      <w:start w:val="1"/>
    </w:lvl>
    <w:lvl w:ilvl="1">
      <w:lvlJc w:val="left"/>
      <w:lvlText w:val="(%2)"/>
      <w:numFmt w:val="lowerLetter"/>
      <w:start w:val="1"/>
    </w:lvl>
  </w:abstractNum>
  <w:abstractNum w:abstractNumId="72">
    <w:nsid w:val="1EBA5D2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99" Type="http://schemas.openxmlformats.org/officeDocument/2006/relationships/hyperlink" Target="http://www.sec.gov/Archives/edgar/data/1626971/000110465916108304/a16-7289_1ex3d1.htm" TargetMode="External"/><Relationship Id="rId100" Type="http://schemas.openxmlformats.org/officeDocument/2006/relationships/hyperlink" Target="http://www.sec.gov/Archives/edgar/data/1626971/000110465916108304/a16-7289_1ex3d2.htm" TargetMode="External"/><Relationship Id="rId101" Type="http://schemas.openxmlformats.org/officeDocument/2006/relationships/hyperlink" Target="http://www.sec.gov/Archives/edgar/data/1626971/000104746916009531/a2226867zex-4_2.htm" TargetMode="External"/><Relationship Id="rId102" Type="http://schemas.openxmlformats.org/officeDocument/2006/relationships/hyperlink" Target="http://www.sec.gov/Archives/edgar/data/1626971/000110465919062177/a19-22348_1ex4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2024-05-07T17:00:24Z</dcterms:created>
  <dcterms:modified xsi:type="dcterms:W3CDTF">2024-05-07T17:00:24Z</dcterms:modified>
</cp:coreProperties>
</file>