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Corvus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Corvus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19"/>
        <w:spacing w:after="0"/>
        <w:rPr>
          <w:sz w:val="20"/>
          <w:szCs w:val="20"/>
          <w:color w:val="auto"/>
        </w:rPr>
      </w:pPr>
      <w:r>
        <w:rPr>
          <w:rFonts w:ascii="Times New Roman" w:cs="Times New Roman" w:eastAsia="Times New Roman" w:hAnsi="Times New Roman"/>
          <w:sz w:val="22"/>
          <w:szCs w:val="22"/>
          <w:color w:val="auto"/>
        </w:rPr>
        <w:t>901 Gateway Boulevard, Third Floor, South San Francisco, California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w:t>
      </w:r>
    </w:p>
    <w:p>
      <w:pPr>
        <w:spacing w:after="0" w:line="14" w:lineRule="exact"/>
        <w:rPr>
          <w:sz w:val="20"/>
          <w:szCs w:val="20"/>
          <w:color w:val="auto"/>
        </w:rPr>
      </w:pPr>
    </w:p>
    <w:p>
      <w:pPr>
        <w:ind w:left="920" w:right="14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common stock, par value $0.0001 per share ("Common Stock"), of Corvus Pharmaceuticals, Inc. that were held by an investment fund it manages; (ii) Point72 Capital Advisors, Inc. ("Point72 Capital Advisors Inc.") with respect to shares of Common Stock that were held by an investment fund managed by Point72 Asset Management; and (iii) Steven A. Cohen ("Mr. Cohen") with respect to shares of Common Stock that were beneficially owned by Point72 Asset Management and Point72 Capital Advisors Inc.</w:t>
      </w:r>
    </w:p>
    <w:p>
      <w:pPr>
        <w:sectPr>
          <w:pgSz w:w="11900" w:h="16838" w:orient="portrait"/>
          <w:cols w:equalWidth="0" w:num="1">
            <w:col w:w="11120"/>
          </w:cols>
          <w:pgMar w:left="360" w:top="112" w:right="41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 Such information is as of the close of business on March 31, 2026.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2026.</w:t>
      </w:r>
    </w:p>
    <w:p>
      <w:pPr>
        <w:spacing w:after="0" w:line="23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ind w:left="920" w:right="3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2026.</w:t>
      </w:r>
    </w:p>
    <w:p>
      <w:pPr>
        <w:spacing w:after="0" w:line="2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right="2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2026.</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2026-05-15T15:29:39Z</dcterms:created>
  <dcterms:modified xsi:type="dcterms:W3CDTF">2026-05-15T15:29:39Z</dcterms:modified>
</cp:coreProperties>
</file>